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606B0" w14:textId="77777777" w:rsidR="007F46FF" w:rsidRPr="00231249" w:rsidRDefault="00231249" w:rsidP="00231249">
      <w:pPr>
        <w:spacing w:after="0" w:line="276" w:lineRule="auto"/>
        <w:jc w:val="center"/>
        <w:rPr>
          <w:rFonts w:ascii="Arial" w:hAnsi="Arial" w:cs="Arial"/>
          <w:b/>
          <w:bCs/>
          <w:sz w:val="24"/>
          <w:szCs w:val="24"/>
          <w:lang w:eastAsia="pt-BR"/>
        </w:rPr>
      </w:pPr>
      <w:r>
        <w:rPr>
          <w:rFonts w:ascii="Arial" w:hAnsi="Arial" w:cs="Arial"/>
          <w:b/>
          <w:bCs/>
          <w:sz w:val="24"/>
          <w:szCs w:val="24"/>
          <w:lang w:eastAsia="pt-BR"/>
        </w:rPr>
        <w:t>A</w:t>
      </w:r>
      <w:r w:rsidR="007F46FF" w:rsidRPr="00231249">
        <w:rPr>
          <w:rFonts w:ascii="Arial" w:hAnsi="Arial" w:cs="Arial"/>
          <w:b/>
          <w:bCs/>
          <w:sz w:val="24"/>
          <w:szCs w:val="24"/>
          <w:lang w:eastAsia="pt-BR"/>
        </w:rPr>
        <w:t>NEXO III</w:t>
      </w:r>
    </w:p>
    <w:p w14:paraId="430B3A38" w14:textId="77777777" w:rsidR="007F46FF" w:rsidRPr="00231249" w:rsidRDefault="007F46FF" w:rsidP="00231249">
      <w:pPr>
        <w:spacing w:after="0" w:line="276" w:lineRule="auto"/>
        <w:jc w:val="center"/>
        <w:rPr>
          <w:rFonts w:ascii="Arial" w:hAnsi="Arial" w:cs="Arial"/>
          <w:b/>
          <w:bCs/>
          <w:sz w:val="24"/>
          <w:szCs w:val="24"/>
          <w:u w:val="single"/>
          <w:lang w:eastAsia="pt-BR"/>
        </w:rPr>
      </w:pPr>
      <w:r w:rsidRPr="00231249">
        <w:rPr>
          <w:rFonts w:ascii="Arial" w:hAnsi="Arial" w:cs="Arial"/>
          <w:b/>
          <w:bCs/>
          <w:sz w:val="24"/>
          <w:szCs w:val="24"/>
          <w:u w:val="single"/>
          <w:lang w:eastAsia="pt-BR"/>
        </w:rPr>
        <w:t>PLANILHA DE COMPOSIÇÃO DE PREÇOS</w:t>
      </w:r>
    </w:p>
    <w:p w14:paraId="20C55D99" w14:textId="77777777" w:rsidR="007F46FF" w:rsidRPr="00231249" w:rsidRDefault="007F46FF" w:rsidP="00231249">
      <w:pPr>
        <w:widowControl w:val="0"/>
        <w:spacing w:after="0" w:line="276" w:lineRule="auto"/>
        <w:jc w:val="both"/>
        <w:rPr>
          <w:rFonts w:ascii="Arial" w:hAnsi="Arial" w:cs="Arial"/>
          <w:bCs/>
          <w:sz w:val="24"/>
          <w:szCs w:val="24"/>
          <w:lang w:eastAsia="pt-BR"/>
        </w:rPr>
      </w:pPr>
    </w:p>
    <w:p w14:paraId="4EA47599" w14:textId="03F6DEAD" w:rsidR="007F46FF" w:rsidRPr="00231249" w:rsidRDefault="007F46FF" w:rsidP="00231249">
      <w:pPr>
        <w:widowControl w:val="0"/>
        <w:spacing w:after="0" w:line="276" w:lineRule="auto"/>
        <w:jc w:val="both"/>
        <w:rPr>
          <w:rFonts w:ascii="Arial" w:hAnsi="Arial" w:cs="Arial"/>
          <w:b/>
          <w:sz w:val="24"/>
          <w:szCs w:val="24"/>
          <w:lang w:eastAsia="pt-BR"/>
        </w:rPr>
      </w:pPr>
      <w:r w:rsidRPr="00231249">
        <w:rPr>
          <w:rFonts w:ascii="Arial" w:hAnsi="Arial" w:cs="Arial"/>
          <w:bCs/>
          <w:sz w:val="24"/>
          <w:szCs w:val="24"/>
          <w:lang w:eastAsia="pt-BR"/>
        </w:rPr>
        <w:t xml:space="preserve">Encontram-se disponibilizados em arquivo único e </w:t>
      </w:r>
      <w:r w:rsidRPr="00231249">
        <w:rPr>
          <w:rFonts w:ascii="Arial" w:hAnsi="Arial" w:cs="Arial"/>
          <w:sz w:val="24"/>
          <w:szCs w:val="24"/>
          <w:lang w:eastAsia="pt-BR"/>
        </w:rPr>
        <w:t>deverão ser obtidos através do site</w:t>
      </w:r>
      <w:r w:rsidRPr="00231249">
        <w:rPr>
          <w:rFonts w:ascii="Arial" w:hAnsi="Arial" w:cs="Arial"/>
          <w:bCs/>
          <w:sz w:val="24"/>
          <w:szCs w:val="24"/>
          <w:lang w:eastAsia="pt-BR"/>
        </w:rPr>
        <w:t xml:space="preserve"> </w:t>
      </w:r>
      <w:hyperlink r:id="rId10" w:history="1">
        <w:r w:rsidRPr="00231249">
          <w:rPr>
            <w:rFonts w:ascii="Arial" w:hAnsi="Arial" w:cs="Arial"/>
            <w:bCs/>
            <w:color w:val="0000FF"/>
            <w:sz w:val="24"/>
            <w:szCs w:val="24"/>
            <w:u w:val="single"/>
            <w:lang w:eastAsia="pt-BR"/>
          </w:rPr>
          <w:t>www.licitacoes.caixa.gov.br</w:t>
        </w:r>
      </w:hyperlink>
      <w:r w:rsidRPr="00231249">
        <w:rPr>
          <w:rFonts w:ascii="Arial" w:hAnsi="Arial" w:cs="Arial"/>
          <w:bCs/>
          <w:sz w:val="24"/>
          <w:szCs w:val="24"/>
          <w:lang w:eastAsia="pt-BR"/>
        </w:rPr>
        <w:t xml:space="preserve">, </w:t>
      </w:r>
      <w:r w:rsidRPr="00231249">
        <w:rPr>
          <w:rFonts w:ascii="Arial" w:hAnsi="Arial" w:cs="Arial"/>
          <w:sz w:val="24"/>
          <w:szCs w:val="24"/>
          <w:lang w:eastAsia="pt-BR"/>
        </w:rPr>
        <w:t xml:space="preserve">clicar no quadro </w:t>
      </w:r>
      <w:r w:rsidRPr="00231249">
        <w:rPr>
          <w:rFonts w:ascii="Arial" w:hAnsi="Arial" w:cs="Arial"/>
          <w:sz w:val="24"/>
          <w:szCs w:val="24"/>
          <w:u w:val="single"/>
          <w:lang w:eastAsia="pt-BR"/>
        </w:rPr>
        <w:t>“Compradores CAIXA”, clicar no link “em Credenciamento”</w:t>
      </w:r>
      <w:r w:rsidRPr="00231249">
        <w:rPr>
          <w:rFonts w:ascii="Arial" w:hAnsi="Arial" w:cs="Arial"/>
          <w:sz w:val="24"/>
          <w:szCs w:val="24"/>
          <w:lang w:eastAsia="pt-BR"/>
        </w:rPr>
        <w:t xml:space="preserve">, localizar o </w:t>
      </w:r>
      <w:r w:rsidRPr="00231249">
        <w:rPr>
          <w:rFonts w:ascii="Arial" w:hAnsi="Arial" w:cs="Arial"/>
          <w:b/>
          <w:sz w:val="24"/>
          <w:szCs w:val="24"/>
          <w:lang w:eastAsia="pt-BR"/>
        </w:rPr>
        <w:t>Pregão Eletrônico nº 0XX/2020-7</w:t>
      </w:r>
      <w:r w:rsidR="00076F91" w:rsidRPr="00231249">
        <w:rPr>
          <w:rFonts w:ascii="Arial" w:hAnsi="Arial" w:cs="Arial"/>
          <w:b/>
          <w:sz w:val="24"/>
          <w:szCs w:val="24"/>
          <w:lang w:eastAsia="pt-BR"/>
        </w:rPr>
        <w:t>XXX</w:t>
      </w:r>
      <w:r w:rsidRPr="00231249">
        <w:rPr>
          <w:rFonts w:ascii="Arial" w:hAnsi="Arial" w:cs="Arial"/>
          <w:b/>
          <w:sz w:val="24"/>
          <w:szCs w:val="24"/>
          <w:lang w:eastAsia="pt-BR"/>
        </w:rPr>
        <w:t>,</w:t>
      </w:r>
      <w:r w:rsidRPr="00231249">
        <w:rPr>
          <w:rFonts w:ascii="Arial" w:hAnsi="Arial" w:cs="Arial"/>
          <w:sz w:val="24"/>
          <w:szCs w:val="24"/>
          <w:lang w:eastAsia="pt-BR"/>
        </w:rPr>
        <w:t xml:space="preserve"> ir na aba Edital no final da tela e clicar sobre os link para fazer download do Edital e Anexos </w:t>
      </w:r>
      <w:r w:rsidRPr="00231249">
        <w:rPr>
          <w:rFonts w:ascii="Arial" w:hAnsi="Arial" w:cs="Arial"/>
          <w:bCs/>
          <w:sz w:val="24"/>
          <w:szCs w:val="24"/>
          <w:lang w:eastAsia="pt-BR"/>
        </w:rPr>
        <w:t xml:space="preserve">ou obtenha informações acerca do download do Edital por e-mail </w:t>
      </w:r>
      <w:hyperlink r:id="rId11" w:history="1">
        <w:r w:rsidR="00DC5E54" w:rsidRPr="00DD258C">
          <w:rPr>
            <w:rStyle w:val="Hyperlink"/>
            <w:rFonts w:ascii="Arial" w:hAnsi="Arial" w:cs="Arial"/>
            <w:sz w:val="24"/>
            <w:szCs w:val="24"/>
            <w:lang w:eastAsia="pt-BR"/>
          </w:rPr>
          <w:t>cecot@caixa.gov.br</w:t>
        </w:r>
      </w:hyperlink>
    </w:p>
    <w:p w14:paraId="16403F35" w14:textId="77777777" w:rsidR="007F46FF" w:rsidRPr="00231249" w:rsidRDefault="007F46FF" w:rsidP="00231249">
      <w:pPr>
        <w:shd w:val="clear" w:color="auto" w:fill="FFFFFF"/>
        <w:spacing w:after="0" w:line="276" w:lineRule="auto"/>
        <w:jc w:val="both"/>
        <w:rPr>
          <w:rFonts w:ascii="Arial" w:hAnsi="Arial" w:cs="Arial"/>
          <w:b/>
          <w:bCs/>
          <w:i/>
          <w:color w:val="FF0000"/>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7F46FF" w:rsidRPr="00231249" w14:paraId="6C84451E" w14:textId="77777777" w:rsidTr="00BB2B50">
        <w:trPr>
          <w:trHeight w:val="255"/>
        </w:trPr>
        <w:tc>
          <w:tcPr>
            <w:tcW w:w="9288" w:type="dxa"/>
            <w:noWrap/>
          </w:tcPr>
          <w:p w14:paraId="39C598D0" w14:textId="77777777" w:rsidR="007F46FF" w:rsidRPr="00231249" w:rsidRDefault="007F46FF" w:rsidP="00231249">
            <w:pPr>
              <w:spacing w:after="0" w:line="276" w:lineRule="auto"/>
              <w:jc w:val="both"/>
              <w:rPr>
                <w:rFonts w:ascii="Arial" w:hAnsi="Arial" w:cs="Arial"/>
                <w:sz w:val="24"/>
                <w:szCs w:val="24"/>
                <w:lang w:eastAsia="pt-BR"/>
              </w:rPr>
            </w:pPr>
            <w:r w:rsidRPr="00231249">
              <w:rPr>
                <w:rFonts w:ascii="Arial" w:hAnsi="Arial" w:cs="Arial"/>
                <w:b/>
                <w:bCs/>
                <w:sz w:val="24"/>
                <w:szCs w:val="24"/>
                <w:lang w:eastAsia="pt-BR"/>
              </w:rPr>
              <w:t>Orientações</w:t>
            </w:r>
            <w:r w:rsidRPr="00231249">
              <w:rPr>
                <w:rFonts w:ascii="Arial" w:hAnsi="Arial" w:cs="Arial"/>
                <w:sz w:val="24"/>
                <w:szCs w:val="24"/>
                <w:lang w:eastAsia="pt-BR"/>
              </w:rPr>
              <w:t>  </w:t>
            </w:r>
          </w:p>
        </w:tc>
      </w:tr>
      <w:tr w:rsidR="007F46FF" w:rsidRPr="00231249" w14:paraId="08570B5F" w14:textId="77777777" w:rsidTr="00BB2B50">
        <w:trPr>
          <w:trHeight w:val="525"/>
        </w:trPr>
        <w:tc>
          <w:tcPr>
            <w:tcW w:w="9288" w:type="dxa"/>
          </w:tcPr>
          <w:p w14:paraId="295C7CC5"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t>A planilha deve ser elaborada com o maior detalhamento possível dos custos, de modo a permitir a comparação dos preços ofertados com os de mercado ou fixados em legislação ou norma.</w:t>
            </w:r>
          </w:p>
          <w:p w14:paraId="5C2B688F" w14:textId="77777777" w:rsidR="007F46FF" w:rsidRPr="00231249" w:rsidRDefault="007F46FF" w:rsidP="00231249">
            <w:pPr>
              <w:spacing w:after="0" w:line="276" w:lineRule="auto"/>
              <w:ind w:left="360"/>
              <w:jc w:val="both"/>
              <w:rPr>
                <w:rFonts w:ascii="Arial" w:hAnsi="Arial" w:cs="Arial"/>
                <w:sz w:val="24"/>
                <w:szCs w:val="24"/>
                <w:lang w:eastAsia="pt-BR"/>
              </w:rPr>
            </w:pPr>
          </w:p>
        </w:tc>
      </w:tr>
      <w:tr w:rsidR="007F46FF" w:rsidRPr="00231249" w14:paraId="3D1DDE95" w14:textId="77777777" w:rsidTr="00BB2B50">
        <w:trPr>
          <w:trHeight w:val="525"/>
        </w:trPr>
        <w:tc>
          <w:tcPr>
            <w:tcW w:w="9288" w:type="dxa"/>
          </w:tcPr>
          <w:p w14:paraId="0E5BF1B0" w14:textId="77777777" w:rsidR="00B53B7D"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color w:val="FF0000"/>
                <w:sz w:val="24"/>
                <w:szCs w:val="24"/>
                <w:lang w:eastAsia="pt-BR"/>
              </w:rPr>
              <w:t>O Modelo de Planilha no formato Excel, disponibilizado na “aba Edital” preserva as células preenchidas nas rubricas e insumos de custos obrigatórios e fixos, a exemplo do piso salarial de cada posto conforme CCT de maior abrangência, benefícios legais, encargos trabalhistas fixos, a exemplo do FGTS e os percentuais de Contingência de Verbas Trabalhistas. As demais células, correspondentes aos custos personalíssimos de cada empresa, a exemplo dos Custos Indiretos (exceto rateio dos Prepostos-Supervisores), histórico de ausências legais, uniformes e, enquadramento tributário, se apresentam</w:t>
            </w:r>
            <w:r w:rsidR="00B53B7D" w:rsidRPr="00231249">
              <w:rPr>
                <w:rFonts w:ascii="Arial" w:hAnsi="Arial" w:cs="Arial"/>
                <w:color w:val="FF0000"/>
                <w:sz w:val="24"/>
                <w:szCs w:val="24"/>
                <w:lang w:eastAsia="pt-BR"/>
              </w:rPr>
              <w:t xml:space="preserve"> com estimativas de mercado ou máximo admitido</w:t>
            </w:r>
            <w:r w:rsidRPr="00231249">
              <w:rPr>
                <w:rFonts w:ascii="Arial" w:hAnsi="Arial" w:cs="Arial"/>
                <w:color w:val="FF0000"/>
                <w:sz w:val="24"/>
                <w:szCs w:val="24"/>
                <w:lang w:eastAsia="pt-BR"/>
              </w:rPr>
              <w:t xml:space="preserve">, </w:t>
            </w:r>
            <w:r w:rsidR="00B53B7D" w:rsidRPr="00231249">
              <w:rPr>
                <w:rFonts w:ascii="Arial" w:hAnsi="Arial" w:cs="Arial"/>
                <w:color w:val="FF0000"/>
                <w:sz w:val="24"/>
                <w:szCs w:val="24"/>
                <w:lang w:eastAsia="pt-BR"/>
              </w:rPr>
              <w:t>sendo obrigatório</w:t>
            </w:r>
            <w:r w:rsidR="00D966A5" w:rsidRPr="00231249">
              <w:rPr>
                <w:rFonts w:ascii="Arial" w:hAnsi="Arial" w:cs="Arial"/>
                <w:color w:val="FF0000"/>
                <w:sz w:val="24"/>
                <w:szCs w:val="24"/>
                <w:lang w:eastAsia="pt-BR"/>
              </w:rPr>
              <w:t xml:space="preserve"> </w:t>
            </w:r>
            <w:r w:rsidRPr="00231249">
              <w:rPr>
                <w:rFonts w:ascii="Arial" w:hAnsi="Arial" w:cs="Arial"/>
                <w:color w:val="FF0000"/>
                <w:sz w:val="24"/>
                <w:szCs w:val="24"/>
                <w:lang w:eastAsia="pt-BR"/>
              </w:rPr>
              <w:t>que cada Licitante registre sua distribuição de custos e percentuais de lucro e tributos</w:t>
            </w:r>
            <w:r w:rsidR="007D7742" w:rsidRPr="00231249">
              <w:rPr>
                <w:rFonts w:ascii="Arial" w:hAnsi="Arial" w:cs="Arial"/>
                <w:color w:val="FF0000"/>
                <w:sz w:val="24"/>
                <w:szCs w:val="24"/>
                <w:lang w:eastAsia="pt-BR"/>
              </w:rPr>
              <w:t>.</w:t>
            </w:r>
          </w:p>
          <w:p w14:paraId="7853ACEC" w14:textId="77777777" w:rsidR="00231249" w:rsidRPr="00231249" w:rsidRDefault="00231249" w:rsidP="00231249">
            <w:pPr>
              <w:spacing w:before="120" w:after="0" w:line="276" w:lineRule="auto"/>
              <w:ind w:left="360"/>
              <w:jc w:val="both"/>
              <w:rPr>
                <w:rFonts w:ascii="Arial" w:hAnsi="Arial" w:cs="Arial"/>
                <w:sz w:val="24"/>
                <w:szCs w:val="24"/>
                <w:lang w:eastAsia="pt-BR"/>
              </w:rPr>
            </w:pPr>
          </w:p>
        </w:tc>
      </w:tr>
      <w:tr w:rsidR="007F46FF" w:rsidRPr="00231249" w14:paraId="7597D3BF" w14:textId="77777777" w:rsidTr="00BB2B50">
        <w:trPr>
          <w:trHeight w:val="525"/>
        </w:trPr>
        <w:tc>
          <w:tcPr>
            <w:tcW w:w="9288" w:type="dxa"/>
          </w:tcPr>
          <w:p w14:paraId="3DF0D5EB" w14:textId="77777777" w:rsidR="007F46FF"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A Licitante detentora do melhor preço deverá apresentar a planilha de composição do preço ofertado observando as orientações que constam no Edital e seus Anexos e, deverá, obrigatoriamente, apresentá-la no Modelo de Planilha disponibilizado e no formato Excel (.xls), com todas as células contendo suas respectivas fórmulas e a indicação clara de onde os valores básicos foram extraídos. Ainda, a distribuição de custos deve guardar consonância com cada despesa descrita</w:t>
            </w:r>
            <w:r w:rsidR="007D7742" w:rsidRPr="00231249">
              <w:rPr>
                <w:rFonts w:ascii="Arial" w:hAnsi="Arial" w:cs="Arial"/>
                <w:sz w:val="24"/>
                <w:szCs w:val="24"/>
                <w:lang w:eastAsia="pt-BR"/>
              </w:rPr>
              <w:t xml:space="preserve"> e, os </w:t>
            </w:r>
            <w:r w:rsidR="007D7742" w:rsidRPr="00231249">
              <w:rPr>
                <w:rFonts w:ascii="Arial" w:hAnsi="Arial" w:cs="Arial"/>
                <w:b/>
                <w:sz w:val="24"/>
                <w:szCs w:val="24"/>
                <w:u w:val="single"/>
                <w:lang w:eastAsia="pt-BR"/>
              </w:rPr>
              <w:t>Custos Indiretos</w:t>
            </w:r>
            <w:r w:rsidR="007D7742" w:rsidRPr="00231249">
              <w:rPr>
                <w:rFonts w:ascii="Arial" w:hAnsi="Arial" w:cs="Arial"/>
                <w:sz w:val="24"/>
                <w:szCs w:val="24"/>
                <w:lang w:eastAsia="pt-BR"/>
              </w:rPr>
              <w:t xml:space="preserve"> devem estar </w:t>
            </w:r>
            <w:r w:rsidR="007D7742" w:rsidRPr="00231249">
              <w:rPr>
                <w:rFonts w:ascii="Arial" w:hAnsi="Arial" w:cs="Arial"/>
                <w:b/>
                <w:sz w:val="24"/>
                <w:szCs w:val="24"/>
                <w:lang w:eastAsia="pt-BR"/>
              </w:rPr>
              <w:t>perfeitamente distribuídos</w:t>
            </w:r>
            <w:r w:rsidR="007D7742" w:rsidRPr="00231249">
              <w:rPr>
                <w:rFonts w:ascii="Arial" w:hAnsi="Arial" w:cs="Arial"/>
                <w:sz w:val="24"/>
                <w:szCs w:val="24"/>
                <w:lang w:eastAsia="pt-BR"/>
              </w:rPr>
              <w:t xml:space="preserve"> (rateio) entre as planilhas que compõem o preço do serviço. </w:t>
            </w:r>
          </w:p>
          <w:p w14:paraId="5B4B5F67" w14:textId="77777777" w:rsidR="00231249" w:rsidRPr="00231249" w:rsidRDefault="00231249" w:rsidP="00231249">
            <w:pPr>
              <w:spacing w:before="120" w:after="120" w:line="276" w:lineRule="auto"/>
              <w:ind w:left="360"/>
              <w:jc w:val="both"/>
              <w:rPr>
                <w:rFonts w:ascii="Arial" w:hAnsi="Arial" w:cs="Arial"/>
                <w:sz w:val="24"/>
                <w:szCs w:val="24"/>
                <w:lang w:eastAsia="pt-BR"/>
              </w:rPr>
            </w:pPr>
          </w:p>
        </w:tc>
      </w:tr>
      <w:tr w:rsidR="007F46FF" w:rsidRPr="00231249" w14:paraId="7E9003E8" w14:textId="77777777" w:rsidTr="00BB2B50">
        <w:trPr>
          <w:trHeight w:val="525"/>
        </w:trPr>
        <w:tc>
          <w:tcPr>
            <w:tcW w:w="9288" w:type="dxa"/>
          </w:tcPr>
          <w:p w14:paraId="5CA344B7"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A Licitante detentora do melhor preço deverá apresentar espelho do FapWeb e declaração de classificação no RAT pela atividade preponderante.</w:t>
            </w:r>
          </w:p>
        </w:tc>
      </w:tr>
      <w:tr w:rsidR="007F46FF" w:rsidRPr="00231249" w14:paraId="1A5108FA" w14:textId="77777777" w:rsidTr="00BB2B50">
        <w:trPr>
          <w:trHeight w:val="795"/>
        </w:trPr>
        <w:tc>
          <w:tcPr>
            <w:tcW w:w="9288" w:type="dxa"/>
          </w:tcPr>
          <w:p w14:paraId="75F2DCE7"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t xml:space="preserve">A CCT, Acordo ou Sentença Normativa, estipula o piso salarial da categoria profissional, percentual de reajuste salarial, além de outras vantagens ou benefícios aos empregados, tendo caráter vinculativo e obrigacional nas relações trabalhistas, o que os torna documento essencial para a análise dos custos </w:t>
            </w:r>
            <w:r w:rsidRPr="00231249">
              <w:rPr>
                <w:rFonts w:ascii="Arial" w:hAnsi="Arial" w:cs="Arial"/>
                <w:sz w:val="24"/>
                <w:szCs w:val="24"/>
                <w:lang w:eastAsia="pt-BR"/>
              </w:rPr>
              <w:lastRenderedPageBreak/>
              <w:t xml:space="preserve">apresentados pelas empresas, no que diz respeito à mão-de-obra. No entanto, </w:t>
            </w:r>
            <w:r w:rsidRPr="00231249">
              <w:rPr>
                <w:rFonts w:ascii="Arial" w:hAnsi="Arial" w:cs="Arial"/>
                <w:b/>
                <w:sz w:val="24"/>
                <w:szCs w:val="24"/>
                <w:u w:val="single"/>
                <w:lang w:eastAsia="pt-BR"/>
              </w:rPr>
              <w:t>não serão admitidas</w:t>
            </w:r>
            <w:r w:rsidRPr="00231249">
              <w:rPr>
                <w:rFonts w:ascii="Arial" w:hAnsi="Arial" w:cs="Arial"/>
                <w:sz w:val="24"/>
                <w:szCs w:val="24"/>
                <w:lang w:eastAsia="pt-BR"/>
              </w:rPr>
              <w:t xml:space="preserve"> nas planilhas de custos e formação de preços as disposições contidas em Acordos, Dissídios ou Convenções Coletivas que tratem de pagamento de participação dos trabalhadores nos lucros ou resultados da CONTRATADA, de matéria não trabalhista, ou que estabeleçam direitos não previstos em lei, tais como valores ou índices obrigatórios de encargos sociais ou previdenciários, bem como de preços para os insumos relacionados ao exercício da atividade, conforme determinação da </w:t>
            </w:r>
            <w:r w:rsidRPr="00231249">
              <w:rPr>
                <w:rFonts w:ascii="Arial" w:hAnsi="Arial" w:cs="Arial"/>
                <w:b/>
                <w:bCs/>
                <w:sz w:val="24"/>
                <w:szCs w:val="24"/>
                <w:lang w:eastAsia="pt-BR"/>
              </w:rPr>
              <w:t>Instrução Normativa nº 05/2017</w:t>
            </w:r>
            <w:r w:rsidRPr="00231249">
              <w:rPr>
                <w:rFonts w:ascii="Arial" w:hAnsi="Arial" w:cs="Arial"/>
                <w:sz w:val="24"/>
                <w:szCs w:val="24"/>
                <w:lang w:eastAsia="pt-BR"/>
              </w:rPr>
              <w:t xml:space="preserve"> do Ministério do Planejamento e </w:t>
            </w:r>
            <w:r w:rsidRPr="00231249">
              <w:rPr>
                <w:rFonts w:ascii="Arial" w:hAnsi="Arial" w:cs="Arial"/>
                <w:b/>
                <w:bCs/>
                <w:sz w:val="24"/>
                <w:szCs w:val="24"/>
                <w:lang w:eastAsia="pt-BR"/>
              </w:rPr>
              <w:t>Decreto 9.507/2018</w:t>
            </w:r>
            <w:r w:rsidRPr="00231249">
              <w:rPr>
                <w:rFonts w:ascii="Arial" w:hAnsi="Arial" w:cs="Arial"/>
                <w:sz w:val="24"/>
                <w:szCs w:val="24"/>
                <w:lang w:eastAsia="pt-BR"/>
              </w:rPr>
              <w:t>, que dispõe sobre a execução indireta, mediante contratação, de serviços da administração pública federal direta, autárquica e fundacional e das empresas públicas e das sociedades de economia mista controladas pela União.</w:t>
            </w:r>
          </w:p>
          <w:p w14:paraId="0111936A" w14:textId="77777777" w:rsidR="007F46FF" w:rsidRPr="00231249" w:rsidRDefault="00037418" w:rsidP="00231249">
            <w:pPr>
              <w:tabs>
                <w:tab w:val="left" w:pos="5565"/>
              </w:tabs>
              <w:spacing w:after="0" w:line="276" w:lineRule="auto"/>
              <w:ind w:left="360"/>
              <w:jc w:val="both"/>
              <w:rPr>
                <w:rFonts w:ascii="Arial" w:hAnsi="Arial" w:cs="Arial"/>
                <w:sz w:val="24"/>
                <w:szCs w:val="24"/>
                <w:lang w:eastAsia="pt-BR"/>
              </w:rPr>
            </w:pPr>
            <w:r w:rsidRPr="00231249">
              <w:rPr>
                <w:rFonts w:ascii="Arial" w:hAnsi="Arial" w:cs="Arial"/>
                <w:sz w:val="24"/>
                <w:szCs w:val="24"/>
                <w:lang w:eastAsia="pt-BR"/>
              </w:rPr>
              <w:tab/>
            </w:r>
          </w:p>
        </w:tc>
      </w:tr>
      <w:tr w:rsidR="007F46FF" w:rsidRPr="00231249" w14:paraId="0486691E" w14:textId="77777777" w:rsidTr="00BB2B50">
        <w:trPr>
          <w:trHeight w:val="495"/>
        </w:trPr>
        <w:tc>
          <w:tcPr>
            <w:tcW w:w="9288" w:type="dxa"/>
          </w:tcPr>
          <w:p w14:paraId="31D20C87"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lastRenderedPageBreak/>
              <w:t>Na análise dos preços, os dados baseados em estatística, tais como, salário maternidade, paternidade, acidente de trabalho e outros, podem ser considerados conforme a realidade da Licitante convocada, contudo valores irrisórios ou zero deverão ser justificados e/ou comprovados, caso seja solicitado por diligência.</w:t>
            </w:r>
          </w:p>
          <w:p w14:paraId="623774BD" w14:textId="77777777" w:rsidR="007F46FF" w:rsidRPr="00231249" w:rsidRDefault="007F46FF" w:rsidP="00231249">
            <w:pPr>
              <w:spacing w:after="0" w:line="276" w:lineRule="auto"/>
              <w:ind w:left="360"/>
              <w:jc w:val="both"/>
              <w:rPr>
                <w:rFonts w:ascii="Arial" w:hAnsi="Arial" w:cs="Arial"/>
                <w:sz w:val="24"/>
                <w:szCs w:val="24"/>
                <w:lang w:eastAsia="pt-BR"/>
              </w:rPr>
            </w:pPr>
          </w:p>
        </w:tc>
      </w:tr>
      <w:tr w:rsidR="007F46FF" w:rsidRPr="00231249" w14:paraId="6C1DBBCF" w14:textId="77777777" w:rsidTr="00BB2B50">
        <w:trPr>
          <w:trHeight w:val="495"/>
        </w:trPr>
        <w:tc>
          <w:tcPr>
            <w:tcW w:w="9288" w:type="dxa"/>
          </w:tcPr>
          <w:p w14:paraId="337B55A7" w14:textId="77777777" w:rsidR="007F46FF" w:rsidRPr="00231249" w:rsidRDefault="007F46FF" w:rsidP="00231249">
            <w:pPr>
              <w:numPr>
                <w:ilvl w:val="3"/>
                <w:numId w:val="1"/>
              </w:numPr>
              <w:spacing w:before="120" w:after="0" w:line="276" w:lineRule="auto"/>
              <w:jc w:val="both"/>
              <w:rPr>
                <w:rFonts w:ascii="Arial" w:hAnsi="Arial" w:cs="Arial"/>
                <w:sz w:val="24"/>
                <w:szCs w:val="24"/>
                <w:lang w:eastAsia="pt-BR"/>
              </w:rPr>
            </w:pPr>
            <w:r w:rsidRPr="00231249">
              <w:rPr>
                <w:rFonts w:ascii="Arial" w:hAnsi="Arial" w:cs="Arial"/>
                <w:sz w:val="24"/>
                <w:szCs w:val="24"/>
                <w:lang w:eastAsia="pt-BR"/>
              </w:rPr>
              <w:t>SÚMULA 254 - TCU: “</w:t>
            </w:r>
            <w:r w:rsidRPr="00231249">
              <w:rPr>
                <w:rFonts w:ascii="Arial" w:hAnsi="Arial" w:cs="Arial"/>
                <w:i/>
                <w:iCs/>
                <w:sz w:val="24"/>
                <w:szCs w:val="24"/>
                <w:lang w:eastAsia="pt-BR"/>
              </w:rPr>
              <w:t>O IRPJ – Imposto de Renda Pessoa Jurídica – e a CSLL – Contribuição Social sobre o Lucro Líquido – não se consubstanciam em despesa indireta passível de inclusão na taxa de Bonificações e Despesas Indiretas - BDI do orçamento-base da licitação, haja vista a natureza direta e personalística desses tributos, que oneram pessoalmente o contratado.”</w:t>
            </w:r>
          </w:p>
          <w:p w14:paraId="1D91B286" w14:textId="77777777" w:rsidR="007F46FF" w:rsidRPr="00231249" w:rsidRDefault="007F46FF" w:rsidP="00231249">
            <w:pPr>
              <w:spacing w:after="0" w:line="276" w:lineRule="auto"/>
              <w:ind w:left="360"/>
              <w:jc w:val="both"/>
              <w:rPr>
                <w:rFonts w:ascii="Arial" w:hAnsi="Arial" w:cs="Arial"/>
                <w:sz w:val="24"/>
                <w:szCs w:val="24"/>
                <w:lang w:eastAsia="pt-BR"/>
              </w:rPr>
            </w:pPr>
            <w:r w:rsidRPr="00231249">
              <w:rPr>
                <w:rFonts w:ascii="Arial" w:hAnsi="Arial" w:cs="Arial"/>
                <w:sz w:val="24"/>
                <w:szCs w:val="24"/>
                <w:lang w:eastAsia="pt-BR"/>
              </w:rPr>
              <w:t>Mediante a Súmula 254, não deverá constar da proposta/planilhas os custos relativos ao IRPJ e à CSLL, seja na composição do CILT (Custos Indiretos, Lucro e Tributos), seja como item específico da planilha de composição do preço.</w:t>
            </w:r>
          </w:p>
          <w:p w14:paraId="797A83C3" w14:textId="77777777" w:rsidR="007F46FF" w:rsidRPr="00231249" w:rsidRDefault="007F46FF" w:rsidP="00231249">
            <w:pPr>
              <w:spacing w:after="0" w:line="276" w:lineRule="auto"/>
              <w:ind w:left="360"/>
              <w:jc w:val="both"/>
              <w:rPr>
                <w:rFonts w:ascii="Arial" w:hAnsi="Arial" w:cs="Arial"/>
                <w:sz w:val="24"/>
                <w:szCs w:val="24"/>
                <w:lang w:eastAsia="pt-BR"/>
              </w:rPr>
            </w:pPr>
          </w:p>
        </w:tc>
      </w:tr>
      <w:tr w:rsidR="007F46FF" w:rsidRPr="00231249" w14:paraId="5CC935FA" w14:textId="77777777" w:rsidTr="00BB2B50">
        <w:trPr>
          <w:trHeight w:val="510"/>
        </w:trPr>
        <w:tc>
          <w:tcPr>
            <w:tcW w:w="9288" w:type="dxa"/>
          </w:tcPr>
          <w:p w14:paraId="4BBAEAA9" w14:textId="77777777" w:rsidR="007F46FF" w:rsidRPr="00231249" w:rsidRDefault="007F46FF" w:rsidP="00167138">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A Licitante deverá informar o seu regime de tributação, se é optante pelo Lucro Real ou Lucro Presumido.</w:t>
            </w:r>
          </w:p>
        </w:tc>
      </w:tr>
      <w:tr w:rsidR="007F46FF" w:rsidRPr="00231249" w14:paraId="5C3FE7C2" w14:textId="77777777" w:rsidTr="00BB2B50">
        <w:trPr>
          <w:trHeight w:val="510"/>
        </w:trPr>
        <w:tc>
          <w:tcPr>
            <w:tcW w:w="9288" w:type="dxa"/>
          </w:tcPr>
          <w:p w14:paraId="2E2896D5"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A Licitante convocada, optante pelo </w:t>
            </w:r>
            <w:r w:rsidRPr="00231249">
              <w:rPr>
                <w:rFonts w:ascii="Arial" w:hAnsi="Arial" w:cs="Arial"/>
                <w:b/>
                <w:bCs/>
                <w:sz w:val="24"/>
                <w:szCs w:val="24"/>
                <w:u w:val="single"/>
                <w:lang w:eastAsia="pt-BR"/>
              </w:rPr>
              <w:t>regime do Lucro Real,</w:t>
            </w:r>
            <w:r w:rsidRPr="00231249">
              <w:rPr>
                <w:rFonts w:ascii="Arial" w:hAnsi="Arial" w:cs="Arial"/>
                <w:sz w:val="24"/>
                <w:szCs w:val="24"/>
                <w:lang w:eastAsia="pt-BR"/>
              </w:rPr>
              <w:t xml:space="preserve"> deverá cumprir a orientação do Ministério da Economia, registrada no Portal Compras Governamentais em 11/10/2019, conforme abaixo:</w:t>
            </w:r>
          </w:p>
          <w:p w14:paraId="662F2924"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A Secretaria de Gestão orienta os órgãos e entidades integrantes do Sistema de Serviços Gerais (Sisg) sobre o aproveitamento de créditos tributários nas contratações de prestação de serviços continuados, com dedicação exclusiva de mão de obra, celebradas com empresas optantes pelo regime de lucro real (com direito à incidência não cumulativa de contribuições ao PIS e COFINS).</w:t>
            </w:r>
          </w:p>
          <w:p w14:paraId="3A4A3A06" w14:textId="77777777" w:rsidR="007F46FF" w:rsidRPr="00231249" w:rsidRDefault="007F46FF" w:rsidP="00231249">
            <w:pPr>
              <w:spacing w:before="120" w:after="120" w:line="276" w:lineRule="auto"/>
              <w:ind w:left="360"/>
              <w:jc w:val="both"/>
              <w:rPr>
                <w:rFonts w:ascii="Arial" w:hAnsi="Arial" w:cs="Arial"/>
                <w:b/>
                <w:i/>
                <w:iCs/>
                <w:sz w:val="24"/>
                <w:szCs w:val="24"/>
                <w:lang w:eastAsia="pt-BR"/>
              </w:rPr>
            </w:pPr>
            <w:r w:rsidRPr="00231249">
              <w:rPr>
                <w:rFonts w:ascii="Arial" w:hAnsi="Arial" w:cs="Arial"/>
                <w:i/>
                <w:iCs/>
                <w:sz w:val="24"/>
                <w:szCs w:val="24"/>
                <w:lang w:eastAsia="pt-BR"/>
              </w:rPr>
              <w:t xml:space="preserve"> Na elaboração dos termos de referência e editais, os órgãos e entidades deverão exigir que os licitantes, quando tributados pelo regime de incidência não-cumulativa de PIS e COFINS, cotem na planilha de custos e formação de preços (que detalham os componentes dos seus custos) </w:t>
            </w:r>
            <w:r w:rsidRPr="00231249">
              <w:rPr>
                <w:rFonts w:ascii="Arial" w:hAnsi="Arial" w:cs="Arial"/>
                <w:b/>
                <w:i/>
                <w:iCs/>
                <w:sz w:val="24"/>
                <w:szCs w:val="24"/>
                <w:lang w:eastAsia="pt-BR"/>
              </w:rPr>
              <w:t xml:space="preserve">as alíquotas médias </w:t>
            </w:r>
            <w:r w:rsidRPr="00231249">
              <w:rPr>
                <w:rFonts w:ascii="Arial" w:hAnsi="Arial" w:cs="Arial"/>
                <w:b/>
                <w:i/>
                <w:iCs/>
                <w:sz w:val="24"/>
                <w:szCs w:val="24"/>
                <w:lang w:eastAsia="pt-BR"/>
              </w:rPr>
              <w:lastRenderedPageBreak/>
              <w:t>efetivamente recolhidas dessas contribuições.</w:t>
            </w:r>
          </w:p>
          <w:p w14:paraId="4CA0B9E4"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 xml:space="preserve">Isso porque as empresas submetidas a tal regime, conforme normativos vigentes(1), podem realizar o abatimento de créditos apurados com base em custos, despesas e encargos, tais como insumos, aluguéis de máquinas e equipamentos, vale transporte, dentre outros, fazendo com que os valores dos tributos efetivamente recolhidos sejam inferiores às alíquotas de 1,65% (PIS) e 7,60% (COFINS). </w:t>
            </w:r>
          </w:p>
          <w:p w14:paraId="4D084521"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Para a comprovação das alíquotas médias efetivas, poderão ser exigidos os documentos de Escrituração Fiscal Digital da Contribuição (EFD-Contribuições) para o PIS/PASEP e COFINS dos últimos 12 (doze) meses anteriores à apresentação da proposta, ou outro meio hábil, em que seja possível demonstrar as alíquotas médias efetivas.</w:t>
            </w:r>
          </w:p>
          <w:p w14:paraId="5150F301"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A comprovação das alíquotas médias efetivas deverá ser feita no momento da repactuação ou da renovação contratual a fim de se promover os ajustes necessários decorrentes das oscilações dos custos efetivos de PIS e COFINS.</w:t>
            </w:r>
          </w:p>
          <w:p w14:paraId="29875C69" w14:textId="77777777" w:rsidR="007F46FF" w:rsidRDefault="007F46FF" w:rsidP="00167138">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[1] As Leis nº 10.637, de 30 de dezembro de 2002 e nº 10.833, de 29 de dezembro de 2003, tratam do regime de apuração de incidência não cumulativa das contribuições ao Programa de Integração Social (PIS) e à Contribuição para o Financiamento da Seguridade Social (COFINS).</w:t>
            </w:r>
          </w:p>
          <w:p w14:paraId="48F0E2F7" w14:textId="77777777" w:rsidR="00167138" w:rsidRPr="00231249" w:rsidRDefault="00167138" w:rsidP="00167138">
            <w:pPr>
              <w:spacing w:before="120" w:after="120" w:line="276" w:lineRule="auto"/>
              <w:ind w:left="360"/>
              <w:jc w:val="both"/>
              <w:rPr>
                <w:rFonts w:ascii="Arial" w:hAnsi="Arial" w:cs="Arial"/>
                <w:sz w:val="24"/>
                <w:szCs w:val="24"/>
                <w:lang w:eastAsia="pt-BR"/>
              </w:rPr>
            </w:pPr>
          </w:p>
        </w:tc>
      </w:tr>
      <w:tr w:rsidR="007F46FF" w:rsidRPr="00231249" w14:paraId="29B97194" w14:textId="77777777" w:rsidTr="00BB2B50">
        <w:trPr>
          <w:trHeight w:val="510"/>
        </w:trPr>
        <w:tc>
          <w:tcPr>
            <w:tcW w:w="9288" w:type="dxa"/>
          </w:tcPr>
          <w:p w14:paraId="1AAAE900" w14:textId="0B4B7C2F" w:rsidR="007F46FF" w:rsidRPr="00231249" w:rsidRDefault="007F46FF" w:rsidP="00167138">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lastRenderedPageBreak/>
              <w:t xml:space="preserve">Para a presente composição do preço, deve ser </w:t>
            </w:r>
            <w:r w:rsidRPr="000C3C69">
              <w:rPr>
                <w:rFonts w:ascii="Arial" w:hAnsi="Arial" w:cs="Arial"/>
                <w:sz w:val="24"/>
                <w:szCs w:val="24"/>
                <w:lang w:eastAsia="pt-BR"/>
              </w:rPr>
              <w:t xml:space="preserve">considerada estimativa de início de vigência contratual de </w:t>
            </w:r>
            <w:r w:rsidR="000C3C69" w:rsidRPr="000C3C69">
              <w:rPr>
                <w:rFonts w:ascii="Arial" w:hAnsi="Arial" w:cs="Arial"/>
                <w:sz w:val="24"/>
                <w:szCs w:val="24"/>
                <w:lang w:eastAsia="pt-BR"/>
              </w:rPr>
              <w:t>20</w:t>
            </w:r>
            <w:r w:rsidRPr="000C3C69">
              <w:rPr>
                <w:rFonts w:ascii="Arial" w:hAnsi="Arial" w:cs="Arial"/>
                <w:sz w:val="24"/>
                <w:szCs w:val="24"/>
                <w:lang w:eastAsia="pt-BR"/>
              </w:rPr>
              <w:t xml:space="preserve"> meses</w:t>
            </w:r>
            <w:r w:rsidRPr="005455D1">
              <w:rPr>
                <w:rFonts w:ascii="Arial" w:hAnsi="Arial" w:cs="Arial"/>
                <w:sz w:val="24"/>
                <w:szCs w:val="24"/>
                <w:lang w:eastAsia="pt-BR"/>
              </w:rPr>
              <w:t xml:space="preserve"> </w:t>
            </w:r>
            <w:r w:rsidRPr="005455D1">
              <w:rPr>
                <w:rFonts w:ascii="Arial" w:hAnsi="Arial" w:cs="Arial"/>
                <w:sz w:val="24"/>
                <w:szCs w:val="24"/>
                <w:u w:val="single"/>
                <w:lang w:eastAsia="pt-BR"/>
              </w:rPr>
              <w:t xml:space="preserve">em </w:t>
            </w:r>
            <w:r w:rsidR="002E7641" w:rsidRPr="005455D1">
              <w:rPr>
                <w:rFonts w:ascii="Arial" w:hAnsi="Arial" w:cs="Arial"/>
                <w:sz w:val="24"/>
                <w:szCs w:val="24"/>
                <w:u w:val="single"/>
                <w:lang w:eastAsia="pt-BR"/>
              </w:rPr>
              <w:t>até 90 (noventa) dias (prazo médio do processo licitatório</w:t>
            </w:r>
            <w:r w:rsidR="005455D1">
              <w:rPr>
                <w:rFonts w:ascii="Arial" w:hAnsi="Arial" w:cs="Arial"/>
                <w:sz w:val="24"/>
                <w:szCs w:val="24"/>
                <w:u w:val="single"/>
                <w:lang w:eastAsia="pt-BR"/>
              </w:rPr>
              <w:t>).</w:t>
            </w:r>
            <w:r w:rsidRPr="00231249">
              <w:rPr>
                <w:rFonts w:ascii="Arial" w:hAnsi="Arial" w:cs="Arial"/>
                <w:sz w:val="24"/>
                <w:szCs w:val="24"/>
                <w:lang w:eastAsia="pt-BR"/>
              </w:rPr>
              <w:t xml:space="preserve"> </w:t>
            </w:r>
          </w:p>
        </w:tc>
      </w:tr>
      <w:tr w:rsidR="007F46FF" w:rsidRPr="00231249" w14:paraId="695639E8" w14:textId="77777777" w:rsidTr="00BB2B50">
        <w:trPr>
          <w:trHeight w:val="510"/>
        </w:trPr>
        <w:tc>
          <w:tcPr>
            <w:tcW w:w="9288" w:type="dxa"/>
          </w:tcPr>
          <w:p w14:paraId="4A4706AB"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Custos não renováveis </w:t>
            </w:r>
            <w:r w:rsidRPr="00231249">
              <w:rPr>
                <w:rFonts w:ascii="Arial" w:hAnsi="Arial" w:cs="Arial"/>
                <w:b/>
                <w:bCs/>
                <w:sz w:val="24"/>
                <w:szCs w:val="24"/>
                <w:u w:val="single"/>
                <w:lang w:eastAsia="pt-BR"/>
              </w:rPr>
              <w:t>ou</w:t>
            </w:r>
            <w:r w:rsidRPr="00231249">
              <w:rPr>
                <w:rFonts w:ascii="Arial" w:hAnsi="Arial" w:cs="Arial"/>
                <w:sz w:val="24"/>
                <w:szCs w:val="24"/>
                <w:lang w:eastAsia="pt-BR"/>
              </w:rPr>
              <w:t xml:space="preserve"> passíveis de redução pela análise do comportamento do contrato, a partir da 1ª prorrogação contratual: Aviso Prévio Indenizado; Incidência do FGTS sobre Aviso Prévio Indenizado; Aviso Prévio Trabalhado; e respectiva Incidência dos encargos do submódulo 2.2 sobre o Aviso Prévio Trabalhado. TCU Acórdão nº 1.186/2017, adequação do Acórdão nº 3.006/2010, ambos do Plenário.</w:t>
            </w:r>
          </w:p>
          <w:p w14:paraId="21D7A80A" w14:textId="77777777" w:rsidR="007F46FF" w:rsidRPr="00231249" w:rsidRDefault="007F46FF" w:rsidP="00231249">
            <w:pPr>
              <w:spacing w:before="120" w:after="120" w:line="276" w:lineRule="auto"/>
              <w:ind w:left="360"/>
              <w:jc w:val="both"/>
              <w:rPr>
                <w:rFonts w:ascii="Arial" w:hAnsi="Arial" w:cs="Arial"/>
                <w:sz w:val="24"/>
                <w:szCs w:val="24"/>
                <w:lang w:eastAsia="pt-BR"/>
              </w:rPr>
            </w:pPr>
          </w:p>
        </w:tc>
      </w:tr>
      <w:tr w:rsidR="007F46FF" w:rsidRPr="00231249" w14:paraId="75AA039B" w14:textId="77777777" w:rsidTr="00BB2B50">
        <w:trPr>
          <w:trHeight w:val="510"/>
        </w:trPr>
        <w:tc>
          <w:tcPr>
            <w:tcW w:w="9288" w:type="dxa"/>
          </w:tcPr>
          <w:p w14:paraId="2BF874EA" w14:textId="289A2F21"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640156">
              <w:rPr>
                <w:rFonts w:ascii="Arial" w:hAnsi="Arial" w:cs="Arial"/>
                <w:sz w:val="24"/>
                <w:szCs w:val="24"/>
                <w:lang w:eastAsia="pt-BR"/>
              </w:rPr>
              <w:t xml:space="preserve">Em função da vigência de </w:t>
            </w:r>
            <w:r w:rsidR="00B25749" w:rsidRPr="00640156">
              <w:rPr>
                <w:rFonts w:ascii="Arial" w:hAnsi="Arial" w:cs="Arial"/>
                <w:sz w:val="24"/>
                <w:szCs w:val="24"/>
                <w:lang w:eastAsia="pt-BR"/>
              </w:rPr>
              <w:t>20</w:t>
            </w:r>
            <w:r w:rsidRPr="00640156">
              <w:rPr>
                <w:rFonts w:ascii="Arial" w:hAnsi="Arial" w:cs="Arial"/>
                <w:sz w:val="24"/>
                <w:szCs w:val="24"/>
                <w:lang w:eastAsia="pt-BR"/>
              </w:rPr>
              <w:t xml:space="preserve"> meses, os percentuais para Aviso Prévio Indenizado (API) e Aviso Prévio Trabalhado (APT) devem ser diluídos para este período. </w:t>
            </w:r>
            <w:r w:rsidRPr="00640156">
              <w:rPr>
                <w:rFonts w:ascii="Arial" w:hAnsi="Arial" w:cs="Arial"/>
                <w:b/>
                <w:bCs/>
                <w:sz w:val="24"/>
                <w:szCs w:val="24"/>
                <w:u w:val="single"/>
                <w:lang w:eastAsia="pt-BR"/>
              </w:rPr>
              <w:t>Percentuais máximos sugeridos para o 1º ano (12 meses):</w:t>
            </w:r>
            <w:r w:rsidRPr="00640156">
              <w:rPr>
                <w:rFonts w:ascii="Arial" w:hAnsi="Arial" w:cs="Arial"/>
                <w:sz w:val="24"/>
                <w:szCs w:val="24"/>
                <w:lang w:eastAsia="pt-BR"/>
              </w:rPr>
              <w:t xml:space="preserve">  Aviso Prévio Indenizado 0,42 ao mês, em 12 meses = 5,04 – dividido por </w:t>
            </w:r>
            <w:r w:rsidR="003E1329" w:rsidRPr="00640156">
              <w:rPr>
                <w:rFonts w:ascii="Arial" w:hAnsi="Arial" w:cs="Arial"/>
                <w:b/>
                <w:bCs/>
                <w:sz w:val="24"/>
                <w:szCs w:val="24"/>
                <w:u w:val="single"/>
                <w:lang w:eastAsia="pt-BR"/>
              </w:rPr>
              <w:t>20</w:t>
            </w:r>
            <w:r w:rsidRPr="00640156">
              <w:rPr>
                <w:rFonts w:ascii="Arial" w:hAnsi="Arial" w:cs="Arial"/>
                <w:b/>
                <w:bCs/>
                <w:sz w:val="24"/>
                <w:szCs w:val="24"/>
                <w:u w:val="single"/>
                <w:lang w:eastAsia="pt-BR"/>
              </w:rPr>
              <w:t xml:space="preserve"> meses = 0,</w:t>
            </w:r>
            <w:r w:rsidR="002D3F9C" w:rsidRPr="00640156">
              <w:rPr>
                <w:rFonts w:ascii="Arial" w:hAnsi="Arial" w:cs="Arial"/>
                <w:b/>
                <w:bCs/>
                <w:sz w:val="24"/>
                <w:szCs w:val="24"/>
                <w:u w:val="single"/>
                <w:lang w:eastAsia="pt-BR"/>
              </w:rPr>
              <w:t>25</w:t>
            </w:r>
            <w:r w:rsidRPr="00640156">
              <w:rPr>
                <w:rFonts w:ascii="Arial" w:hAnsi="Arial" w:cs="Arial"/>
                <w:sz w:val="24"/>
                <w:szCs w:val="24"/>
                <w:lang w:eastAsia="pt-BR"/>
              </w:rPr>
              <w:t xml:space="preserve">. Aviso Prévio Trabalhado 1,94 ao mês, em 12 meses = 23,28 – dividido por </w:t>
            </w:r>
            <w:r w:rsidR="00640156" w:rsidRPr="00640156">
              <w:rPr>
                <w:rFonts w:ascii="Arial" w:hAnsi="Arial" w:cs="Arial"/>
                <w:b/>
                <w:bCs/>
                <w:sz w:val="24"/>
                <w:szCs w:val="24"/>
                <w:u w:val="single"/>
                <w:lang w:eastAsia="pt-BR"/>
              </w:rPr>
              <w:t>20</w:t>
            </w:r>
            <w:r w:rsidRPr="00640156">
              <w:rPr>
                <w:rFonts w:ascii="Arial" w:hAnsi="Arial" w:cs="Arial"/>
                <w:b/>
                <w:bCs/>
                <w:sz w:val="24"/>
                <w:szCs w:val="24"/>
                <w:u w:val="single"/>
                <w:lang w:eastAsia="pt-BR"/>
              </w:rPr>
              <w:t xml:space="preserve"> meses = </w:t>
            </w:r>
            <w:r w:rsidR="00640156" w:rsidRPr="00640156">
              <w:rPr>
                <w:rFonts w:ascii="Arial" w:hAnsi="Arial" w:cs="Arial"/>
                <w:b/>
                <w:bCs/>
                <w:sz w:val="24"/>
                <w:szCs w:val="24"/>
                <w:u w:val="single"/>
                <w:lang w:eastAsia="pt-BR"/>
              </w:rPr>
              <w:t>1,17</w:t>
            </w:r>
            <w:r w:rsidRPr="00640156">
              <w:rPr>
                <w:rFonts w:ascii="Arial" w:hAnsi="Arial" w:cs="Arial"/>
                <w:b/>
                <w:bCs/>
                <w:sz w:val="24"/>
                <w:szCs w:val="24"/>
                <w:u w:val="single"/>
                <w:lang w:eastAsia="pt-BR"/>
              </w:rPr>
              <w:t>.</w:t>
            </w:r>
          </w:p>
        </w:tc>
      </w:tr>
      <w:tr w:rsidR="007F46FF" w:rsidRPr="00231249" w14:paraId="783D0F6C" w14:textId="77777777" w:rsidTr="00BB2B50">
        <w:trPr>
          <w:trHeight w:val="510"/>
        </w:trPr>
        <w:tc>
          <w:tcPr>
            <w:tcW w:w="9288" w:type="dxa"/>
          </w:tcPr>
          <w:p w14:paraId="16593FE8" w14:textId="07795D2A" w:rsidR="007F46FF"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Os valores referentes aos Custos Indiretos devem suportar os custos de execução do Contrato, comprovando, no mínimo, o salário, encargos, auxílio-alimentação e auxílio-transporte dos Preposto/Supervisores de dedicação </w:t>
            </w:r>
            <w:r w:rsidRPr="00231249">
              <w:rPr>
                <w:rFonts w:ascii="Arial" w:hAnsi="Arial" w:cs="Arial"/>
                <w:sz w:val="24"/>
                <w:szCs w:val="24"/>
                <w:lang w:eastAsia="pt-BR"/>
              </w:rPr>
              <w:lastRenderedPageBreak/>
              <w:t>exclusiva ao contrato; Treinamento e Reciclagem do contingente alocado; Programas de Segurança e Saúde do Trabalho (PPRA; PCMSO; ASO; PPP e outros n</w:t>
            </w:r>
            <w:r w:rsidRPr="0082563A">
              <w:rPr>
                <w:rFonts w:ascii="Arial" w:hAnsi="Arial" w:cs="Arial"/>
                <w:sz w:val="24"/>
                <w:szCs w:val="24"/>
                <w:lang w:eastAsia="pt-BR"/>
              </w:rPr>
              <w:t xml:space="preserve">o que couber) e, despesas com escritório/filial CNPJ </w:t>
            </w:r>
            <w:r w:rsidR="00AA56A4">
              <w:rPr>
                <w:rFonts w:ascii="Arial" w:hAnsi="Arial" w:cs="Arial"/>
                <w:sz w:val="24"/>
                <w:szCs w:val="24"/>
                <w:lang w:eastAsia="pt-BR"/>
              </w:rPr>
              <w:t>na capital ou região metropolitana do Maranhão</w:t>
            </w:r>
            <w:r w:rsidR="00231249" w:rsidRPr="00231249">
              <w:rPr>
                <w:rFonts w:ascii="Arial" w:hAnsi="Arial" w:cs="Arial"/>
                <w:sz w:val="24"/>
                <w:szCs w:val="24"/>
                <w:lang w:eastAsia="pt-BR"/>
              </w:rPr>
              <w:t xml:space="preserve">, </w:t>
            </w:r>
            <w:r w:rsidRPr="00231249">
              <w:rPr>
                <w:rFonts w:ascii="Arial" w:hAnsi="Arial" w:cs="Arial"/>
                <w:sz w:val="24"/>
                <w:szCs w:val="24"/>
                <w:lang w:eastAsia="pt-BR"/>
              </w:rPr>
              <w:t>caso necessário.</w:t>
            </w:r>
          </w:p>
          <w:p w14:paraId="78F55EA6" w14:textId="77777777" w:rsidR="00167138" w:rsidRPr="00231249" w:rsidRDefault="00167138" w:rsidP="00167138">
            <w:pPr>
              <w:spacing w:before="120" w:after="120" w:line="276" w:lineRule="auto"/>
              <w:ind w:left="360"/>
              <w:jc w:val="both"/>
              <w:rPr>
                <w:rFonts w:ascii="Arial" w:hAnsi="Arial" w:cs="Arial"/>
                <w:sz w:val="24"/>
                <w:szCs w:val="24"/>
                <w:lang w:eastAsia="pt-BR"/>
              </w:rPr>
            </w:pPr>
          </w:p>
        </w:tc>
      </w:tr>
      <w:tr w:rsidR="007F46FF" w:rsidRPr="00231249" w14:paraId="6104A9EE" w14:textId="77777777" w:rsidTr="00BB2B50">
        <w:trPr>
          <w:trHeight w:val="510"/>
        </w:trPr>
        <w:tc>
          <w:tcPr>
            <w:tcW w:w="9288" w:type="dxa"/>
          </w:tcPr>
          <w:p w14:paraId="59858BA8"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lastRenderedPageBreak/>
              <w:t xml:space="preserve">Acórdão TCU 614/2008 – Plenário: </w:t>
            </w:r>
            <w:r w:rsidRPr="00231249">
              <w:rPr>
                <w:rFonts w:ascii="Arial" w:hAnsi="Arial" w:cs="Arial"/>
                <w:i/>
                <w:iCs/>
                <w:sz w:val="24"/>
                <w:szCs w:val="24"/>
                <w:lang w:eastAsia="pt-BR"/>
              </w:rPr>
              <w:t xml:space="preserve">Para modelos de execução indireta de serviços, inclusive os baseados na alocação de postos de trabalho, se a categoria profissional requerida se encontra amparada por convenção coletiva de trabalho, ou outra norma coletiva aplicável a toda a categoria, determinando o respectivo valor salarial mínimo, </w:t>
            </w:r>
            <w:r w:rsidRPr="00231249">
              <w:rPr>
                <w:rFonts w:ascii="Arial" w:hAnsi="Arial" w:cs="Arial"/>
                <w:b/>
                <w:bCs/>
                <w:i/>
                <w:iCs/>
                <w:sz w:val="24"/>
                <w:szCs w:val="24"/>
                <w:lang w:eastAsia="pt-BR"/>
              </w:rPr>
              <w:t>esse pacto laboral deve ser rigorosamente observado nas licitações efetivadas pela Administração Pública e nas contratações delas decorrentes</w:t>
            </w:r>
            <w:r w:rsidRPr="00231249">
              <w:rPr>
                <w:rFonts w:ascii="Arial" w:hAnsi="Arial" w:cs="Arial"/>
                <w:i/>
                <w:iCs/>
                <w:sz w:val="24"/>
                <w:szCs w:val="24"/>
                <w:lang w:eastAsia="pt-BR"/>
              </w:rPr>
              <w:t>.</w:t>
            </w:r>
          </w:p>
          <w:p w14:paraId="734B9BBF" w14:textId="77777777" w:rsidR="007F46FF" w:rsidRPr="00231249" w:rsidRDefault="007F46FF" w:rsidP="00231249">
            <w:pPr>
              <w:spacing w:before="120" w:after="120" w:line="276" w:lineRule="auto"/>
              <w:ind w:left="360"/>
              <w:jc w:val="both"/>
              <w:rPr>
                <w:rFonts w:ascii="Arial" w:hAnsi="Arial" w:cs="Arial"/>
                <w:color w:val="FF0000"/>
                <w:sz w:val="24"/>
                <w:szCs w:val="24"/>
                <w:lang w:eastAsia="pt-BR"/>
              </w:rPr>
            </w:pPr>
            <w:r w:rsidRPr="00231249">
              <w:rPr>
                <w:rFonts w:ascii="Arial" w:hAnsi="Arial" w:cs="Arial"/>
                <w:sz w:val="24"/>
                <w:szCs w:val="24"/>
                <w:lang w:eastAsia="pt-BR"/>
              </w:rPr>
              <w:t>Dessa forma, os custos da mão-de-obra desta Licitação</w:t>
            </w:r>
            <w:r w:rsidRPr="00AA56A4">
              <w:rPr>
                <w:rFonts w:ascii="Arial" w:hAnsi="Arial" w:cs="Arial"/>
                <w:sz w:val="24"/>
                <w:szCs w:val="24"/>
                <w:lang w:eastAsia="pt-BR"/>
              </w:rPr>
              <w:t xml:space="preserve"> foram baseados nas seguintes Convenções Coletivas de Trabalho:</w:t>
            </w:r>
          </w:p>
          <w:p w14:paraId="36A2E7EC" w14:textId="307FF614" w:rsidR="00972735" w:rsidRPr="00231249" w:rsidRDefault="00972735" w:rsidP="00231249">
            <w:pPr>
              <w:spacing w:before="120" w:after="120" w:line="276" w:lineRule="auto"/>
              <w:ind w:left="360"/>
              <w:jc w:val="both"/>
              <w:rPr>
                <w:rFonts w:ascii="Arial" w:hAnsi="Arial" w:cs="Arial"/>
                <w:b/>
                <w:sz w:val="24"/>
                <w:szCs w:val="24"/>
                <w:u w:val="single"/>
                <w:lang w:eastAsia="pt-BR"/>
              </w:rPr>
            </w:pPr>
            <w:r w:rsidRPr="00231249">
              <w:rPr>
                <w:rFonts w:ascii="Arial" w:hAnsi="Arial" w:cs="Arial"/>
                <w:b/>
                <w:sz w:val="24"/>
                <w:szCs w:val="24"/>
                <w:u w:val="single"/>
                <w:lang w:eastAsia="pt-BR"/>
              </w:rPr>
              <w:t>SERVIÇOS DE LIMPEZA</w:t>
            </w:r>
          </w:p>
          <w:p w14:paraId="612A57F6" w14:textId="5C0C68FC" w:rsidR="001D04AA" w:rsidRDefault="001D04AA" w:rsidP="00231249">
            <w:pPr>
              <w:autoSpaceDE w:val="0"/>
              <w:autoSpaceDN w:val="0"/>
              <w:adjustRightInd w:val="0"/>
              <w:spacing w:after="0" w:line="276" w:lineRule="auto"/>
              <w:jc w:val="both"/>
              <w:rPr>
                <w:rFonts w:ascii="Arial" w:hAnsi="Arial" w:cs="Arial"/>
                <w:b/>
                <w:bCs/>
                <w:sz w:val="24"/>
                <w:szCs w:val="24"/>
                <w:lang w:eastAsia="pt-BR"/>
              </w:rPr>
            </w:pPr>
          </w:p>
          <w:p w14:paraId="67067D37" w14:textId="239A5B0C" w:rsidR="00C90165" w:rsidRPr="00B9412E" w:rsidRDefault="00C90165" w:rsidP="00B9412E">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NÚMERO DE REGISTRO NO MTE: </w:t>
            </w:r>
            <w:r w:rsidR="00220CBC">
              <w:rPr>
                <w:rFonts w:ascii="Arial" w:hAnsi="Arial" w:cs="Arial"/>
                <w:sz w:val="24"/>
                <w:szCs w:val="24"/>
                <w:lang w:eastAsia="pt-BR"/>
              </w:rPr>
              <w:t>MA000087/2023</w:t>
            </w:r>
          </w:p>
          <w:p w14:paraId="7EFE98A5" w14:textId="65E91C1E" w:rsidR="00C90165" w:rsidRPr="00B9412E" w:rsidRDefault="00C90165" w:rsidP="00B9412E">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DATA DE REGISTRO NO MTE: </w:t>
            </w:r>
            <w:r w:rsidR="00220CBC" w:rsidRPr="00220CBC">
              <w:rPr>
                <w:rFonts w:ascii="Arial" w:hAnsi="Arial" w:cs="Arial"/>
                <w:sz w:val="24"/>
                <w:szCs w:val="24"/>
                <w:lang w:eastAsia="pt-BR"/>
              </w:rPr>
              <w:t>03/05/2023</w:t>
            </w:r>
          </w:p>
          <w:p w14:paraId="0832E0D7" w14:textId="0C1C6039" w:rsidR="00C90165" w:rsidRPr="00B9412E" w:rsidRDefault="00C90165" w:rsidP="00B9412E">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NÚMERO DA SOLICITAÇÃO: </w:t>
            </w:r>
            <w:r w:rsidR="00220CBC">
              <w:rPr>
                <w:rFonts w:ascii="Arial" w:hAnsi="Arial" w:cs="Arial"/>
                <w:sz w:val="24"/>
                <w:szCs w:val="24"/>
                <w:lang w:eastAsia="pt-BR"/>
              </w:rPr>
              <w:t>MR19102/2023</w:t>
            </w:r>
          </w:p>
          <w:p w14:paraId="22E844FD" w14:textId="47EBC744" w:rsidR="00C90165" w:rsidRPr="00B9412E" w:rsidRDefault="00C90165" w:rsidP="00B9412E">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NÚMERO DO PROCESSO: </w:t>
            </w:r>
            <w:r w:rsidR="00220CBC">
              <w:rPr>
                <w:rFonts w:ascii="Arial" w:hAnsi="Arial" w:cs="Arial"/>
                <w:sz w:val="24"/>
                <w:szCs w:val="24"/>
                <w:lang w:eastAsia="pt-BR"/>
              </w:rPr>
              <w:t>13621.107561/2023-78</w:t>
            </w:r>
          </w:p>
          <w:p w14:paraId="6A3B6615" w14:textId="1852D0E5" w:rsidR="00C90165" w:rsidRDefault="00C90165" w:rsidP="00B9412E">
            <w:pPr>
              <w:autoSpaceDE w:val="0"/>
              <w:autoSpaceDN w:val="0"/>
              <w:adjustRightInd w:val="0"/>
              <w:spacing w:after="0" w:line="276" w:lineRule="auto"/>
              <w:ind w:firstLine="426"/>
              <w:jc w:val="both"/>
              <w:rPr>
                <w:rFonts w:ascii="Arial" w:hAnsi="Arial" w:cs="Arial"/>
                <w:sz w:val="24"/>
                <w:szCs w:val="24"/>
                <w:lang w:eastAsia="pt-BR"/>
              </w:rPr>
            </w:pPr>
            <w:r w:rsidRPr="00B9412E">
              <w:rPr>
                <w:rFonts w:ascii="Arial" w:hAnsi="Arial" w:cs="Arial"/>
                <w:b/>
                <w:bCs/>
                <w:sz w:val="24"/>
                <w:szCs w:val="24"/>
                <w:lang w:eastAsia="pt-BR"/>
              </w:rPr>
              <w:t xml:space="preserve">DATA DO PROTOCOLO: </w:t>
            </w:r>
            <w:r w:rsidR="00220CBC">
              <w:rPr>
                <w:rFonts w:ascii="Arial" w:hAnsi="Arial" w:cs="Arial"/>
                <w:sz w:val="24"/>
                <w:szCs w:val="24"/>
                <w:lang w:eastAsia="pt-BR"/>
              </w:rPr>
              <w:t>20/04/2023</w:t>
            </w:r>
          </w:p>
          <w:p w14:paraId="57C1ADD9" w14:textId="3C373606" w:rsidR="007F3DFB" w:rsidRDefault="007F3DFB" w:rsidP="00B9412E">
            <w:pPr>
              <w:autoSpaceDE w:val="0"/>
              <w:autoSpaceDN w:val="0"/>
              <w:adjustRightInd w:val="0"/>
              <w:spacing w:after="0" w:line="276" w:lineRule="auto"/>
              <w:ind w:firstLine="426"/>
              <w:jc w:val="both"/>
              <w:rPr>
                <w:rFonts w:ascii="Arial" w:hAnsi="Arial" w:cs="Arial"/>
                <w:sz w:val="24"/>
                <w:szCs w:val="24"/>
                <w:lang w:eastAsia="pt-BR"/>
              </w:rPr>
            </w:pPr>
          </w:p>
          <w:p w14:paraId="009494F7" w14:textId="54EF6B6C" w:rsidR="00DC2A39" w:rsidRPr="00B9412E" w:rsidRDefault="00DC2A39" w:rsidP="00DC2A39">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NÚMERO DE REGISTRO NO MTE: </w:t>
            </w:r>
            <w:r>
              <w:rPr>
                <w:rFonts w:ascii="Arial" w:hAnsi="Arial" w:cs="Arial"/>
                <w:sz w:val="24"/>
                <w:szCs w:val="24"/>
                <w:lang w:eastAsia="pt-BR"/>
              </w:rPr>
              <w:t>PI000066/2023</w:t>
            </w:r>
          </w:p>
          <w:p w14:paraId="5F238A0A" w14:textId="62C34180" w:rsidR="00DC2A39" w:rsidRPr="00B9412E" w:rsidRDefault="00DC2A39" w:rsidP="00DC2A39">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DATA DE REGISTRO NO MTE: </w:t>
            </w:r>
            <w:r>
              <w:rPr>
                <w:rFonts w:ascii="Arial" w:hAnsi="Arial" w:cs="Arial"/>
                <w:sz w:val="24"/>
                <w:szCs w:val="24"/>
                <w:lang w:eastAsia="pt-BR"/>
              </w:rPr>
              <w:t>04/05/2023</w:t>
            </w:r>
          </w:p>
          <w:p w14:paraId="71739851" w14:textId="484A6EB5" w:rsidR="00DC2A39" w:rsidRPr="00B9412E" w:rsidRDefault="00DC2A39" w:rsidP="00DC2A39">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NÚMERO DA SOLICITAÇÃO: </w:t>
            </w:r>
            <w:r>
              <w:rPr>
                <w:rFonts w:ascii="Arial" w:hAnsi="Arial" w:cs="Arial"/>
                <w:sz w:val="24"/>
                <w:szCs w:val="24"/>
                <w:lang w:eastAsia="pt-BR"/>
              </w:rPr>
              <w:t>MR020287/2023</w:t>
            </w:r>
          </w:p>
          <w:p w14:paraId="7AA75C4D" w14:textId="6BB8E57F" w:rsidR="00DC2A39" w:rsidRPr="00B9412E" w:rsidRDefault="00DC2A39" w:rsidP="00DC2A39">
            <w:pPr>
              <w:autoSpaceDE w:val="0"/>
              <w:autoSpaceDN w:val="0"/>
              <w:adjustRightInd w:val="0"/>
              <w:spacing w:after="0" w:line="240" w:lineRule="auto"/>
              <w:ind w:firstLine="426"/>
              <w:rPr>
                <w:rFonts w:ascii="Arial" w:hAnsi="Arial" w:cs="Arial"/>
                <w:sz w:val="24"/>
                <w:szCs w:val="24"/>
                <w:lang w:eastAsia="pt-BR"/>
              </w:rPr>
            </w:pPr>
            <w:r w:rsidRPr="00B9412E">
              <w:rPr>
                <w:rFonts w:ascii="Arial" w:hAnsi="Arial" w:cs="Arial"/>
                <w:b/>
                <w:bCs/>
                <w:sz w:val="24"/>
                <w:szCs w:val="24"/>
                <w:lang w:eastAsia="pt-BR"/>
              </w:rPr>
              <w:t xml:space="preserve">NÚMERO DO PROCESSO: </w:t>
            </w:r>
            <w:r>
              <w:rPr>
                <w:rFonts w:ascii="Arial" w:hAnsi="Arial" w:cs="Arial"/>
                <w:sz w:val="24"/>
                <w:szCs w:val="24"/>
                <w:lang w:eastAsia="pt-BR"/>
              </w:rPr>
              <w:t>13168.100662/2023-12</w:t>
            </w:r>
          </w:p>
          <w:p w14:paraId="018CE000" w14:textId="0E6DB68A" w:rsidR="00DC2A39" w:rsidRDefault="00DC2A39" w:rsidP="00DC2A39">
            <w:pPr>
              <w:autoSpaceDE w:val="0"/>
              <w:autoSpaceDN w:val="0"/>
              <w:adjustRightInd w:val="0"/>
              <w:spacing w:after="0" w:line="276" w:lineRule="auto"/>
              <w:ind w:firstLine="426"/>
              <w:jc w:val="both"/>
              <w:rPr>
                <w:rFonts w:ascii="Arial" w:hAnsi="Arial" w:cs="Arial"/>
                <w:sz w:val="24"/>
                <w:szCs w:val="24"/>
                <w:lang w:eastAsia="pt-BR"/>
              </w:rPr>
            </w:pPr>
            <w:r w:rsidRPr="00B9412E">
              <w:rPr>
                <w:rFonts w:ascii="Arial" w:hAnsi="Arial" w:cs="Arial"/>
                <w:b/>
                <w:bCs/>
                <w:sz w:val="24"/>
                <w:szCs w:val="24"/>
                <w:lang w:eastAsia="pt-BR"/>
              </w:rPr>
              <w:t xml:space="preserve">DATA DO PROTOCOLO: </w:t>
            </w:r>
            <w:r>
              <w:rPr>
                <w:rFonts w:ascii="Arial" w:hAnsi="Arial" w:cs="Arial"/>
                <w:sz w:val="24"/>
                <w:szCs w:val="24"/>
                <w:lang w:eastAsia="pt-BR"/>
              </w:rPr>
              <w:t>28/04/2023</w:t>
            </w:r>
          </w:p>
          <w:p w14:paraId="2D205601" w14:textId="0CCB7C8A" w:rsidR="007F3DFB" w:rsidRPr="00B9412E" w:rsidRDefault="007F3DFB" w:rsidP="00220CBC">
            <w:pPr>
              <w:autoSpaceDE w:val="0"/>
              <w:autoSpaceDN w:val="0"/>
              <w:adjustRightInd w:val="0"/>
              <w:spacing w:after="0" w:line="240" w:lineRule="auto"/>
              <w:ind w:firstLine="426"/>
              <w:rPr>
                <w:rFonts w:ascii="Arial" w:hAnsi="Arial" w:cs="Arial"/>
                <w:sz w:val="24"/>
                <w:szCs w:val="24"/>
                <w:lang w:eastAsia="pt-BR"/>
              </w:rPr>
            </w:pPr>
          </w:p>
          <w:p w14:paraId="27AFAF95" w14:textId="77777777" w:rsidR="00A356B2" w:rsidRDefault="00A356B2" w:rsidP="00231249">
            <w:pPr>
              <w:spacing w:before="120" w:after="120" w:line="276" w:lineRule="auto"/>
              <w:ind w:left="426" w:hanging="426"/>
              <w:jc w:val="both"/>
              <w:rPr>
                <w:rFonts w:ascii="Arial" w:hAnsi="Arial" w:cs="Arial"/>
                <w:sz w:val="24"/>
                <w:szCs w:val="24"/>
                <w:lang w:eastAsia="pt-BR"/>
              </w:rPr>
            </w:pPr>
          </w:p>
          <w:p w14:paraId="7524BB18" w14:textId="0B611D5A" w:rsidR="007F46FF" w:rsidRPr="00231249" w:rsidRDefault="007F46FF" w:rsidP="00231249">
            <w:pPr>
              <w:spacing w:before="120" w:after="120" w:line="276" w:lineRule="auto"/>
              <w:ind w:left="426" w:hanging="426"/>
              <w:jc w:val="both"/>
              <w:rPr>
                <w:rFonts w:ascii="Arial" w:hAnsi="Arial" w:cs="Arial"/>
                <w:sz w:val="24"/>
                <w:szCs w:val="24"/>
                <w:lang w:eastAsia="pt-BR"/>
              </w:rPr>
            </w:pPr>
            <w:r w:rsidRPr="00231249">
              <w:rPr>
                <w:rFonts w:ascii="Arial" w:hAnsi="Arial" w:cs="Arial"/>
                <w:sz w:val="24"/>
                <w:szCs w:val="24"/>
                <w:lang w:eastAsia="pt-BR"/>
              </w:rPr>
              <w:t xml:space="preserve">       A apresentação de CCT diversa obriga a Licitante a comprovar sua filiação ao Sindicato que registrar na proposta.</w:t>
            </w:r>
          </w:p>
          <w:p w14:paraId="1D2A6F0C" w14:textId="77777777" w:rsidR="007F46FF" w:rsidRPr="00231249" w:rsidRDefault="007F46FF" w:rsidP="00231249">
            <w:pPr>
              <w:spacing w:before="120" w:after="120" w:line="276" w:lineRule="auto"/>
              <w:ind w:left="360"/>
              <w:jc w:val="both"/>
              <w:rPr>
                <w:rFonts w:ascii="Arial" w:hAnsi="Arial" w:cs="Arial"/>
                <w:sz w:val="24"/>
                <w:szCs w:val="24"/>
                <w:lang w:eastAsia="pt-BR"/>
              </w:rPr>
            </w:pPr>
            <w:r w:rsidRPr="00231249">
              <w:rPr>
                <w:rFonts w:ascii="Arial" w:hAnsi="Arial" w:cs="Arial"/>
                <w:sz w:val="24"/>
                <w:szCs w:val="24"/>
                <w:lang w:eastAsia="pt-BR"/>
              </w:rPr>
              <w:t xml:space="preserve"> ACÓRDÃO Nº 1097/2019 – TCU – Plenário</w:t>
            </w:r>
          </w:p>
          <w:p w14:paraId="7FF2E56A" w14:textId="77777777" w:rsidR="007F46FF" w:rsidRPr="00231249" w:rsidRDefault="007F46FF" w:rsidP="00231249">
            <w:pPr>
              <w:spacing w:before="120" w:after="120" w:line="276" w:lineRule="auto"/>
              <w:ind w:left="360"/>
              <w:jc w:val="both"/>
              <w:rPr>
                <w:rFonts w:ascii="Arial" w:hAnsi="Arial" w:cs="Arial"/>
                <w:b/>
                <w:bCs/>
                <w:i/>
                <w:iCs/>
                <w:sz w:val="24"/>
                <w:szCs w:val="24"/>
                <w:lang w:eastAsia="pt-BR"/>
              </w:rPr>
            </w:pPr>
            <w:r w:rsidRPr="00231249">
              <w:rPr>
                <w:rFonts w:ascii="Arial" w:hAnsi="Arial" w:cs="Arial"/>
                <w:i/>
                <w:iCs/>
                <w:sz w:val="24"/>
                <w:szCs w:val="24"/>
                <w:lang w:eastAsia="pt-BR"/>
              </w:rPr>
              <w:t xml:space="preserve">9.3.1. utilização na planilha de formação de preços de norma coletiva do trabalho diversa da utilizada pela Agência para a elaboração do orçamento estimado da contratação, tendo em vista que </w:t>
            </w:r>
            <w:r w:rsidRPr="00231249">
              <w:rPr>
                <w:rFonts w:ascii="Arial" w:hAnsi="Arial" w:cs="Arial"/>
                <w:b/>
                <w:bCs/>
                <w:i/>
                <w:iCs/>
                <w:sz w:val="24"/>
                <w:szCs w:val="24"/>
                <w:lang w:eastAsia="pt-BR"/>
              </w:rPr>
              <w:t>o enquadramento sindical é aquele relacionado à atividade principal da empresa licitante e não da categoria profissional a ser contratada, em atenção aos artigos 570, 577 e 581, § 2º da CLT e ao art. 8º, II, da Constituição Federal;</w:t>
            </w:r>
          </w:p>
          <w:p w14:paraId="24580D58" w14:textId="77777777" w:rsidR="007F46FF" w:rsidRPr="00231249" w:rsidRDefault="007F46FF" w:rsidP="00231249">
            <w:pPr>
              <w:spacing w:before="120" w:after="120" w:line="276" w:lineRule="auto"/>
              <w:ind w:left="360"/>
              <w:jc w:val="both"/>
              <w:rPr>
                <w:rFonts w:ascii="Arial" w:hAnsi="Arial" w:cs="Arial"/>
                <w:sz w:val="24"/>
                <w:szCs w:val="24"/>
                <w:lang w:eastAsia="pt-BR"/>
              </w:rPr>
            </w:pPr>
          </w:p>
        </w:tc>
      </w:tr>
      <w:tr w:rsidR="007F46FF" w:rsidRPr="00231249" w14:paraId="2C313BEF" w14:textId="77777777" w:rsidTr="00BB2B50">
        <w:trPr>
          <w:trHeight w:val="510"/>
        </w:trPr>
        <w:tc>
          <w:tcPr>
            <w:tcW w:w="9288" w:type="dxa"/>
          </w:tcPr>
          <w:p w14:paraId="0AF7FBD0" w14:textId="77777777" w:rsidR="007F46FF" w:rsidRPr="00231249" w:rsidRDefault="007F46FF" w:rsidP="00231249">
            <w:pPr>
              <w:numPr>
                <w:ilvl w:val="3"/>
                <w:numId w:val="1"/>
              </w:numPr>
              <w:spacing w:before="120" w:after="120" w:line="276" w:lineRule="auto"/>
              <w:jc w:val="both"/>
              <w:rPr>
                <w:rFonts w:ascii="Arial" w:hAnsi="Arial" w:cs="Arial"/>
                <w:sz w:val="24"/>
                <w:szCs w:val="24"/>
                <w:lang w:eastAsia="pt-BR"/>
              </w:rPr>
            </w:pPr>
            <w:r w:rsidRPr="00231249">
              <w:rPr>
                <w:rFonts w:ascii="Arial" w:hAnsi="Arial" w:cs="Arial"/>
                <w:sz w:val="24"/>
                <w:szCs w:val="24"/>
                <w:lang w:eastAsia="pt-BR"/>
              </w:rPr>
              <w:t xml:space="preserve">Voto proferido no Acórdão 1.244/2018-TCU-Plenário, Relator Marcos Bemquerer: </w:t>
            </w:r>
          </w:p>
          <w:p w14:paraId="668400B3" w14:textId="77777777" w:rsidR="007F46FF" w:rsidRPr="00231249" w:rsidRDefault="007F46FF" w:rsidP="00231249">
            <w:pPr>
              <w:spacing w:before="120" w:after="120" w:line="276" w:lineRule="auto"/>
              <w:ind w:left="360"/>
              <w:jc w:val="both"/>
              <w:rPr>
                <w:rFonts w:ascii="Arial" w:hAnsi="Arial" w:cs="Arial"/>
                <w:sz w:val="24"/>
                <w:szCs w:val="24"/>
                <w:lang w:eastAsia="pt-BR"/>
              </w:rPr>
            </w:pPr>
            <w:r w:rsidRPr="00231249">
              <w:rPr>
                <w:rFonts w:ascii="Arial" w:hAnsi="Arial" w:cs="Arial"/>
                <w:sz w:val="24"/>
                <w:szCs w:val="24"/>
                <w:lang w:eastAsia="pt-BR"/>
              </w:rPr>
              <w:lastRenderedPageBreak/>
              <w:t xml:space="preserve">‘17. Segundo Renato Geraldo Mendes (na obra ‘O processo de contratação pública – Fases, etapas e atos’. Curitiba: Zênite, 2012, p. 313), a Lei de Licitações, em seu art. 48, inciso II, prevê a desclassificação de propostas contendo preços inexequíveis, assim considerados aqueles que: ‘não se revelam capazes de possibilitar a alguém uma retribuição financeira mínima (ou compatível) em relação aos encargos que terá de assumir contratualmente’.   </w:t>
            </w:r>
          </w:p>
          <w:p w14:paraId="711BBE52" w14:textId="77777777" w:rsidR="007F46FF" w:rsidRPr="00231249" w:rsidRDefault="007F46FF" w:rsidP="00231249">
            <w:pPr>
              <w:spacing w:before="120" w:after="120" w:line="276" w:lineRule="auto"/>
              <w:ind w:left="360"/>
              <w:jc w:val="both"/>
              <w:rPr>
                <w:rFonts w:ascii="Arial" w:hAnsi="Arial" w:cs="Arial"/>
                <w:sz w:val="24"/>
                <w:szCs w:val="24"/>
                <w:lang w:eastAsia="pt-BR"/>
              </w:rPr>
            </w:pPr>
            <w:r w:rsidRPr="00231249">
              <w:rPr>
                <w:rFonts w:ascii="Arial" w:hAnsi="Arial" w:cs="Arial"/>
                <w:sz w:val="24"/>
                <w:szCs w:val="24"/>
                <w:lang w:eastAsia="pt-BR"/>
              </w:rPr>
              <w:t>18. Marçal Justen Filho, in Comentários a Lei de Licitações e Contratos Administrativos. 14ª. ed. Dialética: São Paulo, 2010, aduz que:</w:t>
            </w:r>
          </w:p>
          <w:p w14:paraId="50615430" w14:textId="77777777" w:rsidR="007F46FF" w:rsidRPr="00231249" w:rsidRDefault="007F46FF" w:rsidP="00231249">
            <w:pPr>
              <w:spacing w:before="120" w:after="120" w:line="276" w:lineRule="auto"/>
              <w:ind w:left="360"/>
              <w:jc w:val="both"/>
              <w:rPr>
                <w:rFonts w:ascii="Arial" w:hAnsi="Arial" w:cs="Arial"/>
                <w:i/>
                <w:iCs/>
                <w:sz w:val="24"/>
                <w:szCs w:val="24"/>
                <w:lang w:eastAsia="pt-BR"/>
              </w:rPr>
            </w:pPr>
            <w:r w:rsidRPr="00231249">
              <w:rPr>
                <w:rFonts w:ascii="Arial" w:hAnsi="Arial" w:cs="Arial"/>
                <w:i/>
                <w:iCs/>
                <w:sz w:val="24"/>
                <w:szCs w:val="24"/>
                <w:lang w:eastAsia="pt-BR"/>
              </w:rPr>
              <w:t xml:space="preserve">‘Como é vedada licitação de preço-base, não pode admitir-se que 70% do preço orçado seja o limite absoluto de validade das propostas. </w:t>
            </w:r>
          </w:p>
          <w:p w14:paraId="40E78DC7" w14:textId="77777777" w:rsidR="007F46FF" w:rsidRPr="00231249" w:rsidRDefault="007F46FF" w:rsidP="00231249">
            <w:pPr>
              <w:spacing w:before="120" w:after="120" w:line="276" w:lineRule="auto"/>
              <w:ind w:left="360"/>
              <w:jc w:val="both"/>
              <w:rPr>
                <w:rFonts w:ascii="Arial" w:hAnsi="Arial" w:cs="Arial"/>
                <w:b/>
                <w:bCs/>
                <w:i/>
                <w:iCs/>
                <w:sz w:val="24"/>
                <w:szCs w:val="24"/>
                <w:lang w:eastAsia="pt-BR"/>
              </w:rPr>
            </w:pPr>
            <w:r w:rsidRPr="00231249">
              <w:rPr>
                <w:rFonts w:ascii="Arial" w:hAnsi="Arial" w:cs="Arial"/>
                <w:i/>
                <w:iCs/>
                <w:sz w:val="24"/>
                <w:szCs w:val="24"/>
                <w:lang w:eastAsia="pt-BR"/>
              </w:rPr>
              <w:t xml:space="preserve">Tem de reputar-se, também por isso, que o licitante cuja proposta for inferior ao limite do § 1º </w:t>
            </w:r>
            <w:r w:rsidRPr="00231249">
              <w:rPr>
                <w:rFonts w:ascii="Arial" w:hAnsi="Arial" w:cs="Arial"/>
                <w:b/>
                <w:bCs/>
                <w:i/>
                <w:iCs/>
                <w:sz w:val="24"/>
                <w:szCs w:val="24"/>
                <w:lang w:eastAsia="pt-BR"/>
              </w:rPr>
              <w:t>disporá da faculdade de provar à Administração que dispõe de condições materiais para executar sua proposta.</w:t>
            </w:r>
            <w:r w:rsidRPr="00231249">
              <w:rPr>
                <w:rFonts w:ascii="Arial" w:hAnsi="Arial" w:cs="Arial"/>
                <w:i/>
                <w:iCs/>
                <w:sz w:val="24"/>
                <w:szCs w:val="24"/>
                <w:lang w:eastAsia="pt-BR"/>
              </w:rPr>
              <w:t xml:space="preserve"> Haverá uma inversão do ônus da prova, no sentido de que se presume inexequível a proposta de valor inferior, </w:t>
            </w:r>
            <w:r w:rsidRPr="00231249">
              <w:rPr>
                <w:rFonts w:ascii="Arial" w:hAnsi="Arial" w:cs="Arial"/>
                <w:b/>
                <w:bCs/>
                <w:i/>
                <w:iCs/>
                <w:sz w:val="24"/>
                <w:szCs w:val="24"/>
                <w:lang w:eastAsia="pt-BR"/>
              </w:rPr>
              <w:t>cabendo ao licitante o encargo de provar o oposto’.</w:t>
            </w:r>
          </w:p>
          <w:p w14:paraId="0E36EB0E" w14:textId="77777777" w:rsidR="007F46FF" w:rsidRPr="00231249" w:rsidRDefault="007F46FF" w:rsidP="00231249">
            <w:pPr>
              <w:spacing w:before="120" w:after="120" w:line="276" w:lineRule="auto"/>
              <w:ind w:left="360"/>
              <w:jc w:val="both"/>
              <w:rPr>
                <w:rFonts w:ascii="Arial" w:hAnsi="Arial" w:cs="Arial"/>
                <w:b/>
                <w:bCs/>
                <w:sz w:val="24"/>
                <w:szCs w:val="24"/>
                <w:lang w:eastAsia="pt-BR"/>
              </w:rPr>
            </w:pPr>
            <w:r w:rsidRPr="00231249">
              <w:rPr>
                <w:rFonts w:ascii="Arial" w:hAnsi="Arial" w:cs="Arial"/>
                <w:sz w:val="24"/>
                <w:szCs w:val="24"/>
                <w:lang w:eastAsia="pt-BR"/>
              </w:rPr>
              <w:t xml:space="preserve">19. No âmbito deste Tribunal já há entendimento sumulado (Enunciado TCU 262) no sentido de que a inexequibilidade de preços é presunção relativa, </w:t>
            </w:r>
            <w:r w:rsidRPr="00231249">
              <w:rPr>
                <w:rFonts w:ascii="Arial" w:hAnsi="Arial" w:cs="Arial"/>
                <w:b/>
                <w:bCs/>
                <w:sz w:val="24"/>
                <w:szCs w:val="24"/>
                <w:lang w:eastAsia="pt-BR"/>
              </w:rPr>
              <w:t>devendo-se dar oportunidade para que o licitante comprove a viabilidade do preço ofertado.</w:t>
            </w:r>
          </w:p>
          <w:p w14:paraId="6BE430CE" w14:textId="77777777" w:rsidR="007F46FF" w:rsidRPr="00231249" w:rsidRDefault="007F46FF" w:rsidP="00231249">
            <w:pPr>
              <w:spacing w:before="120" w:after="120" w:line="276" w:lineRule="auto"/>
              <w:ind w:left="360"/>
              <w:jc w:val="both"/>
              <w:rPr>
                <w:rFonts w:ascii="Arial" w:hAnsi="Arial" w:cs="Arial"/>
                <w:sz w:val="24"/>
                <w:szCs w:val="24"/>
                <w:lang w:eastAsia="pt-BR"/>
              </w:rPr>
            </w:pPr>
          </w:p>
        </w:tc>
      </w:tr>
    </w:tbl>
    <w:p w14:paraId="77D50548" w14:textId="1ACFB683" w:rsidR="007F46FF" w:rsidRDefault="007F46FF" w:rsidP="00231249">
      <w:pPr>
        <w:spacing w:after="0" w:line="276" w:lineRule="auto"/>
        <w:ind w:left="1134" w:hanging="1134"/>
        <w:jc w:val="both"/>
        <w:rPr>
          <w:rFonts w:ascii="Arial" w:hAnsi="Arial" w:cs="Arial"/>
          <w:sz w:val="24"/>
          <w:szCs w:val="24"/>
          <w:lang w:eastAsia="pt-BR"/>
        </w:rPr>
      </w:pPr>
    </w:p>
    <w:p w14:paraId="2D99740B" w14:textId="7305832A" w:rsidR="00E02344" w:rsidRPr="00E02344" w:rsidRDefault="00E02344" w:rsidP="00E02344">
      <w:pPr>
        <w:rPr>
          <w:rFonts w:ascii="Arial" w:hAnsi="Arial" w:cs="Arial"/>
          <w:sz w:val="24"/>
          <w:szCs w:val="24"/>
          <w:lang w:eastAsia="pt-BR"/>
        </w:rPr>
      </w:pPr>
    </w:p>
    <w:p w14:paraId="3585D2CD" w14:textId="69F4D5B7" w:rsidR="00E02344" w:rsidRPr="00E02344" w:rsidRDefault="00E02344" w:rsidP="00E02344">
      <w:pPr>
        <w:rPr>
          <w:rFonts w:ascii="Arial" w:hAnsi="Arial" w:cs="Arial"/>
          <w:sz w:val="24"/>
          <w:szCs w:val="24"/>
          <w:lang w:eastAsia="pt-BR"/>
        </w:rPr>
      </w:pPr>
    </w:p>
    <w:p w14:paraId="70B7C61D" w14:textId="5538314F" w:rsidR="00E02344" w:rsidRPr="00E02344" w:rsidRDefault="00E02344" w:rsidP="00E02344">
      <w:pPr>
        <w:rPr>
          <w:rFonts w:ascii="Arial" w:hAnsi="Arial" w:cs="Arial"/>
          <w:sz w:val="24"/>
          <w:szCs w:val="24"/>
          <w:lang w:eastAsia="pt-BR"/>
        </w:rPr>
      </w:pPr>
    </w:p>
    <w:p w14:paraId="67C87764" w14:textId="1099336A" w:rsidR="00E02344" w:rsidRPr="00E02344" w:rsidRDefault="00E02344" w:rsidP="00E02344">
      <w:pPr>
        <w:rPr>
          <w:rFonts w:ascii="Arial" w:hAnsi="Arial" w:cs="Arial"/>
          <w:sz w:val="24"/>
          <w:szCs w:val="24"/>
          <w:lang w:eastAsia="pt-BR"/>
        </w:rPr>
      </w:pPr>
    </w:p>
    <w:p w14:paraId="60561530" w14:textId="6177CEAB" w:rsidR="00E02344" w:rsidRPr="00E02344" w:rsidRDefault="00E02344" w:rsidP="00E02344">
      <w:pPr>
        <w:rPr>
          <w:rFonts w:ascii="Arial" w:hAnsi="Arial" w:cs="Arial"/>
          <w:sz w:val="24"/>
          <w:szCs w:val="24"/>
          <w:lang w:eastAsia="pt-BR"/>
        </w:rPr>
      </w:pPr>
    </w:p>
    <w:p w14:paraId="4C40561B" w14:textId="5B34176F" w:rsidR="00E02344" w:rsidRPr="00E02344" w:rsidRDefault="00E02344" w:rsidP="00E02344">
      <w:pPr>
        <w:rPr>
          <w:rFonts w:ascii="Arial" w:hAnsi="Arial" w:cs="Arial"/>
          <w:sz w:val="24"/>
          <w:szCs w:val="24"/>
          <w:lang w:eastAsia="pt-BR"/>
        </w:rPr>
      </w:pPr>
    </w:p>
    <w:p w14:paraId="7873DE0E" w14:textId="101AAC09" w:rsidR="00E02344" w:rsidRPr="00E02344" w:rsidRDefault="00E02344" w:rsidP="00E02344">
      <w:pPr>
        <w:rPr>
          <w:rFonts w:ascii="Arial" w:hAnsi="Arial" w:cs="Arial"/>
          <w:sz w:val="24"/>
          <w:szCs w:val="24"/>
          <w:lang w:eastAsia="pt-BR"/>
        </w:rPr>
      </w:pPr>
    </w:p>
    <w:p w14:paraId="6A468CF0" w14:textId="2F99D1D1" w:rsidR="00E02344" w:rsidRPr="00E02344" w:rsidRDefault="00E02344" w:rsidP="00E02344">
      <w:pPr>
        <w:rPr>
          <w:rFonts w:ascii="Arial" w:hAnsi="Arial" w:cs="Arial"/>
          <w:sz w:val="24"/>
          <w:szCs w:val="24"/>
          <w:lang w:eastAsia="pt-BR"/>
        </w:rPr>
      </w:pPr>
    </w:p>
    <w:p w14:paraId="3B1317B7" w14:textId="6681AAAF" w:rsidR="00E02344" w:rsidRPr="00E02344" w:rsidRDefault="00E02344" w:rsidP="00E02344">
      <w:pPr>
        <w:rPr>
          <w:rFonts w:ascii="Arial" w:hAnsi="Arial" w:cs="Arial"/>
          <w:sz w:val="24"/>
          <w:szCs w:val="24"/>
          <w:lang w:eastAsia="pt-BR"/>
        </w:rPr>
      </w:pPr>
    </w:p>
    <w:p w14:paraId="177DE84C" w14:textId="54457497" w:rsidR="00E02344" w:rsidRPr="00E02344" w:rsidRDefault="00E02344" w:rsidP="00E02344">
      <w:pPr>
        <w:rPr>
          <w:rFonts w:ascii="Arial" w:hAnsi="Arial" w:cs="Arial"/>
          <w:sz w:val="24"/>
          <w:szCs w:val="24"/>
          <w:lang w:eastAsia="pt-BR"/>
        </w:rPr>
      </w:pPr>
    </w:p>
    <w:p w14:paraId="07969B8D" w14:textId="37DA29C5" w:rsidR="00E02344" w:rsidRPr="00E02344" w:rsidRDefault="00E02344" w:rsidP="00E02344">
      <w:pPr>
        <w:rPr>
          <w:rFonts w:ascii="Arial" w:hAnsi="Arial" w:cs="Arial"/>
          <w:sz w:val="24"/>
          <w:szCs w:val="24"/>
          <w:lang w:eastAsia="pt-BR"/>
        </w:rPr>
      </w:pPr>
    </w:p>
    <w:p w14:paraId="47813139" w14:textId="424A3C90" w:rsidR="00E02344" w:rsidRDefault="00E02344" w:rsidP="00E02344">
      <w:pPr>
        <w:rPr>
          <w:rFonts w:ascii="Arial" w:hAnsi="Arial" w:cs="Arial"/>
          <w:sz w:val="24"/>
          <w:szCs w:val="24"/>
          <w:lang w:eastAsia="pt-BR"/>
        </w:rPr>
      </w:pPr>
    </w:p>
    <w:p w14:paraId="35022685" w14:textId="2E8C9DB9" w:rsidR="00E02344" w:rsidRPr="00E02344" w:rsidRDefault="00E02344" w:rsidP="00E02344">
      <w:pPr>
        <w:tabs>
          <w:tab w:val="left" w:pos="6705"/>
        </w:tabs>
        <w:rPr>
          <w:rFonts w:ascii="Arial" w:hAnsi="Arial" w:cs="Arial"/>
          <w:sz w:val="24"/>
          <w:szCs w:val="24"/>
          <w:lang w:eastAsia="pt-BR"/>
        </w:rPr>
      </w:pPr>
      <w:r>
        <w:rPr>
          <w:rFonts w:ascii="Arial" w:hAnsi="Arial" w:cs="Arial"/>
          <w:sz w:val="24"/>
          <w:szCs w:val="24"/>
          <w:lang w:eastAsia="pt-BR"/>
        </w:rPr>
        <w:tab/>
      </w:r>
    </w:p>
    <w:sectPr w:rsidR="00E02344" w:rsidRPr="00E02344" w:rsidSect="0022380C">
      <w:headerReference w:type="even" r:id="rId12"/>
      <w:headerReference w:type="default" r:id="rId13"/>
      <w:footerReference w:type="even" r:id="rId14"/>
      <w:footerReference w:type="default" r:id="rId15"/>
      <w:headerReference w:type="first" r:id="rId16"/>
      <w:footerReference w:type="first" r:id="rId17"/>
      <w:pgSz w:w="11907" w:h="16840" w:code="9"/>
      <w:pgMar w:top="1701" w:right="1134" w:bottom="567" w:left="1701" w:header="113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E890" w14:textId="77777777" w:rsidR="0091586B" w:rsidRDefault="0091586B">
      <w:pPr>
        <w:spacing w:after="0" w:line="240" w:lineRule="auto"/>
      </w:pPr>
      <w:r>
        <w:separator/>
      </w:r>
    </w:p>
  </w:endnote>
  <w:endnote w:type="continuationSeparator" w:id="0">
    <w:p w14:paraId="287DFB92" w14:textId="77777777" w:rsidR="0091586B" w:rsidRDefault="0091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6051" w14:textId="77777777" w:rsidR="007F46FF" w:rsidRPr="008609E8" w:rsidRDefault="007F46FF">
    <w:pPr>
      <w:pStyle w:val="Rodap"/>
      <w:rPr>
        <w:sz w:val="18"/>
        <w:szCs w:val="18"/>
      </w:rPr>
    </w:pPr>
    <w:r w:rsidRPr="00CE1637">
      <w:rPr>
        <w:b/>
        <w:sz w:val="18"/>
        <w:szCs w:val="18"/>
      </w:rPr>
      <w:t xml:space="preserve">PE Serv </w:t>
    </w:r>
    <w:r>
      <w:rPr>
        <w:b/>
        <w:sz w:val="18"/>
        <w:szCs w:val="18"/>
      </w:rPr>
      <w:t>09DEZ</w:t>
    </w:r>
    <w:r w:rsidRPr="00CE1637">
      <w:rPr>
        <w:b/>
        <w:sz w:val="18"/>
        <w:szCs w:val="18"/>
      </w:rPr>
      <w:t>201</w:t>
    </w:r>
    <w:r>
      <w:rPr>
        <w:b/>
        <w:sz w:val="18"/>
        <w:szCs w:val="18"/>
      </w:rPr>
      <w:t>4</w:t>
    </w:r>
    <w:r w:rsidRPr="00CE1637">
      <w:rPr>
        <w:b/>
        <w:sz w:val="18"/>
        <w:szCs w:val="18"/>
      </w:rPr>
      <w:t xml:space="preserve"> v0</w:t>
    </w:r>
    <w:r>
      <w:rPr>
        <w:b/>
        <w:sz w:val="18"/>
        <w:szCs w:val="18"/>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6C8A" w14:textId="2AEB46DC" w:rsidR="007F46FF" w:rsidRPr="001C47B0" w:rsidRDefault="007F46FF" w:rsidP="00410CE0">
    <w:pPr>
      <w:pStyle w:val="Rodap"/>
      <w:jc w:val="right"/>
      <w:rPr>
        <w:sz w:val="18"/>
        <w:szCs w:val="18"/>
      </w:rPr>
    </w:pPr>
    <w:r w:rsidRPr="001C47B0">
      <w:rPr>
        <w:sz w:val="18"/>
        <w:szCs w:val="18"/>
      </w:rPr>
      <w:t xml:space="preserve"> </w:t>
    </w:r>
    <w:r w:rsidRPr="001C47B0">
      <w:rPr>
        <w:bCs/>
        <w:sz w:val="18"/>
        <w:szCs w:val="18"/>
      </w:rPr>
      <w:fldChar w:fldCharType="begin"/>
    </w:r>
    <w:r w:rsidRPr="001C47B0">
      <w:rPr>
        <w:bCs/>
        <w:sz w:val="18"/>
        <w:szCs w:val="18"/>
      </w:rPr>
      <w:instrText>PAGE</w:instrText>
    </w:r>
    <w:r w:rsidRPr="001C47B0">
      <w:rPr>
        <w:bCs/>
        <w:sz w:val="18"/>
        <w:szCs w:val="18"/>
      </w:rPr>
      <w:fldChar w:fldCharType="separate"/>
    </w:r>
    <w:r>
      <w:rPr>
        <w:bCs/>
        <w:noProof/>
        <w:sz w:val="18"/>
        <w:szCs w:val="18"/>
      </w:rPr>
      <w:t>1</w:t>
    </w:r>
    <w:r w:rsidRPr="001C47B0">
      <w:rPr>
        <w:bCs/>
        <w:sz w:val="18"/>
        <w:szCs w:val="18"/>
      </w:rPr>
      <w:fldChar w:fldCharType="end"/>
    </w:r>
    <w:r>
      <w:rPr>
        <w:sz w:val="18"/>
        <w:szCs w:val="18"/>
      </w:rPr>
      <w:t>/</w:t>
    </w:r>
    <w:r w:rsidRPr="001C47B0">
      <w:rPr>
        <w:bCs/>
        <w:sz w:val="18"/>
        <w:szCs w:val="18"/>
      </w:rPr>
      <w:fldChar w:fldCharType="begin"/>
    </w:r>
    <w:r w:rsidRPr="001C47B0">
      <w:rPr>
        <w:bCs/>
        <w:sz w:val="18"/>
        <w:szCs w:val="18"/>
      </w:rPr>
      <w:instrText>NUMPAGES</w:instrText>
    </w:r>
    <w:r w:rsidRPr="001C47B0">
      <w:rPr>
        <w:bCs/>
        <w:sz w:val="18"/>
        <w:szCs w:val="18"/>
      </w:rPr>
      <w:fldChar w:fldCharType="separate"/>
    </w:r>
    <w:r>
      <w:rPr>
        <w:bCs/>
        <w:noProof/>
        <w:sz w:val="18"/>
        <w:szCs w:val="18"/>
      </w:rPr>
      <w:t>4</w:t>
    </w:r>
    <w:r w:rsidRPr="001C47B0">
      <w:rPr>
        <w:bCs/>
        <w:sz w:val="18"/>
        <w:szCs w:val="18"/>
      </w:rPr>
      <w:fldChar w:fldCharType="end"/>
    </w:r>
    <w:r w:rsidR="00410CE0">
      <w:rPr>
        <w:bCs/>
        <w:sz w:val="18"/>
        <w:szCs w:val="18"/>
      </w:rPr>
      <w:t xml:space="preserve">                                Modelo Limpeza – Versão  2.0 – 07/2020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6EAFE" w14:textId="77777777" w:rsidR="007F46FF" w:rsidRPr="001C47B0" w:rsidRDefault="007F46FF" w:rsidP="002273BB">
    <w:pPr>
      <w:pStyle w:val="Rodap"/>
      <w:jc w:val="center"/>
      <w:rPr>
        <w:sz w:val="18"/>
        <w:szCs w:val="18"/>
      </w:rPr>
    </w:pPr>
    <w:r w:rsidRPr="001C47B0">
      <w:rPr>
        <w:bCs/>
        <w:sz w:val="18"/>
        <w:szCs w:val="18"/>
      </w:rPr>
      <w:fldChar w:fldCharType="begin"/>
    </w:r>
    <w:r w:rsidRPr="001C47B0">
      <w:rPr>
        <w:bCs/>
        <w:sz w:val="18"/>
        <w:szCs w:val="18"/>
      </w:rPr>
      <w:instrText>PAGE</w:instrText>
    </w:r>
    <w:r w:rsidRPr="001C47B0">
      <w:rPr>
        <w:bCs/>
        <w:sz w:val="18"/>
        <w:szCs w:val="18"/>
      </w:rPr>
      <w:fldChar w:fldCharType="separate"/>
    </w:r>
    <w:r>
      <w:rPr>
        <w:bCs/>
        <w:noProof/>
        <w:sz w:val="18"/>
        <w:szCs w:val="18"/>
      </w:rPr>
      <w:t>50</w:t>
    </w:r>
    <w:r w:rsidRPr="001C47B0">
      <w:rPr>
        <w:bCs/>
        <w:sz w:val="18"/>
        <w:szCs w:val="18"/>
      </w:rPr>
      <w:fldChar w:fldCharType="end"/>
    </w:r>
    <w:r>
      <w:rPr>
        <w:sz w:val="18"/>
        <w:szCs w:val="18"/>
      </w:rPr>
      <w:t>/</w:t>
    </w:r>
    <w:r w:rsidRPr="001C47B0">
      <w:rPr>
        <w:bCs/>
        <w:sz w:val="18"/>
        <w:szCs w:val="18"/>
      </w:rPr>
      <w:fldChar w:fldCharType="begin"/>
    </w:r>
    <w:r w:rsidRPr="001C47B0">
      <w:rPr>
        <w:bCs/>
        <w:sz w:val="18"/>
        <w:szCs w:val="18"/>
      </w:rPr>
      <w:instrText>NUMPAGES</w:instrText>
    </w:r>
    <w:r w:rsidRPr="001C47B0">
      <w:rPr>
        <w:bCs/>
        <w:sz w:val="18"/>
        <w:szCs w:val="18"/>
      </w:rPr>
      <w:fldChar w:fldCharType="separate"/>
    </w:r>
    <w:r>
      <w:rPr>
        <w:bCs/>
        <w:noProof/>
        <w:sz w:val="18"/>
        <w:szCs w:val="18"/>
      </w:rPr>
      <w:t>50</w:t>
    </w:r>
    <w:r w:rsidRPr="001C47B0">
      <w:rPr>
        <w:bCs/>
        <w:sz w:val="18"/>
        <w:szCs w:val="18"/>
      </w:rPr>
      <w:fldChar w:fldCharType="end"/>
    </w:r>
  </w:p>
  <w:p w14:paraId="1631C168" w14:textId="77777777" w:rsidR="007F46FF" w:rsidRPr="002D7770" w:rsidRDefault="007F46FF" w:rsidP="002273BB">
    <w:pPr>
      <w:pStyle w:val="Rodap"/>
      <w:rPr>
        <w:sz w:val="18"/>
        <w:szCs w:val="18"/>
      </w:rPr>
    </w:pPr>
    <w:r w:rsidRPr="002D7770">
      <w:rPr>
        <w:sz w:val="18"/>
        <w:szCs w:val="18"/>
      </w:rPr>
      <w:t xml:space="preserve">PE Serv </w:t>
    </w:r>
    <w:r>
      <w:rPr>
        <w:sz w:val="18"/>
        <w:szCs w:val="18"/>
      </w:rPr>
      <w:t>10JAN2019</w:t>
    </w:r>
  </w:p>
  <w:p w14:paraId="0DD56FED" w14:textId="77777777" w:rsidR="007F46FF" w:rsidRPr="008609E8" w:rsidRDefault="007F46FF">
    <w:pPr>
      <w:pStyle w:val="Rodap"/>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7BB5" w14:textId="77777777" w:rsidR="0091586B" w:rsidRDefault="0091586B">
      <w:pPr>
        <w:spacing w:after="0" w:line="240" w:lineRule="auto"/>
      </w:pPr>
      <w:r>
        <w:separator/>
      </w:r>
    </w:p>
  </w:footnote>
  <w:footnote w:type="continuationSeparator" w:id="0">
    <w:p w14:paraId="3B1C3408" w14:textId="77777777" w:rsidR="0091586B" w:rsidRDefault="00915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B33E" w14:textId="77777777" w:rsidR="007F46FF" w:rsidRDefault="007F46FF" w:rsidP="002273BB">
    <w:pPr>
      <w:pStyle w:val="Cabealho"/>
      <w:jc w:val="right"/>
      <w:rPr>
        <w:b/>
        <w:bCs/>
      </w:rPr>
    </w:pPr>
    <w:r>
      <w:rPr>
        <w:b/>
        <w:bCs/>
      </w:rPr>
      <w:t xml:space="preserve">PREGÃO ELETRÔNICO Nº </w:t>
    </w:r>
    <w:r>
      <w:rPr>
        <w:b/>
        <w:bCs/>
        <w:highlight w:val="lightGray"/>
      </w:rPr>
      <w:t>__/___- ___</w:t>
    </w:r>
    <w:r>
      <w:rPr>
        <w:b/>
        <w:bCs/>
      </w:rPr>
      <w:t xml:space="preserve"> - </w:t>
    </w:r>
    <w:r w:rsidRPr="006B573A">
      <w:rPr>
        <w:b/>
        <w:bCs/>
      </w:rPr>
      <w:t>GILOG/</w:t>
    </w:r>
    <w:r>
      <w:rPr>
        <w:b/>
        <w:bCs/>
        <w:highlight w:val="lightGray"/>
      </w:rPr>
      <w:t>___</w:t>
    </w:r>
  </w:p>
  <w:p w14:paraId="47721482" w14:textId="77777777" w:rsidR="007F46FF" w:rsidRDefault="007F46F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B193F" w14:textId="68F47320" w:rsidR="007F46FF" w:rsidRPr="002D7770" w:rsidRDefault="00000000" w:rsidP="002273BB">
    <w:pPr>
      <w:pStyle w:val="Cabealho"/>
      <w:jc w:val="right"/>
      <w:rPr>
        <w:b/>
        <w:bCs/>
      </w:rPr>
    </w:pPr>
    <w:r>
      <w:rPr>
        <w:noProof/>
        <w:lang w:eastAsia="pt-BR"/>
      </w:rPr>
      <w:object w:dxaOrig="1440" w:dyaOrig="1440" w14:anchorId="19042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6.55pt;width:101.4pt;height:24pt;z-index:1">
          <v:imagedata r:id="rId1" o:title=""/>
          <w10:wrap type="topAndBottom"/>
        </v:shape>
        <o:OLEObject Type="Embed" ProgID="CorelDraw.Graphic.8" ShapeID="_x0000_s1025" DrawAspect="Content" ObjectID="_1748684335" r:id="rId2"/>
      </w:object>
    </w:r>
    <w:r w:rsidR="007F46FF" w:rsidRPr="002D7770">
      <w:rPr>
        <w:b/>
        <w:bCs/>
      </w:rPr>
      <w:t xml:space="preserve">PREGÃO ELETRÔNICO Nº </w:t>
    </w:r>
    <w:r w:rsidR="007F46FF">
      <w:rPr>
        <w:b/>
        <w:bCs/>
        <w:highlight w:val="lightGray"/>
      </w:rPr>
      <w:t>__/7</w:t>
    </w:r>
    <w:r w:rsidR="00076F91">
      <w:rPr>
        <w:b/>
        <w:bCs/>
        <w:highlight w:val="lightGray"/>
      </w:rPr>
      <w:t>xxx</w:t>
    </w:r>
    <w:r w:rsidR="007F46FF">
      <w:rPr>
        <w:b/>
        <w:bCs/>
        <w:highlight w:val="lightGray"/>
      </w:rPr>
      <w:t>-20</w:t>
    </w:r>
    <w:r w:rsidR="00076F91">
      <w:rPr>
        <w:b/>
        <w:bCs/>
        <w:highlight w:val="lightGray"/>
      </w:rPr>
      <w:t>xx</w:t>
    </w:r>
  </w:p>
  <w:p w14:paraId="7599E7F9" w14:textId="77777777" w:rsidR="007F46FF" w:rsidRPr="0093084D" w:rsidRDefault="007F46FF" w:rsidP="002273B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DC1A" w14:textId="77777777" w:rsidR="007F46FF" w:rsidRDefault="00000000" w:rsidP="002273BB">
    <w:pPr>
      <w:pStyle w:val="Cabealho"/>
      <w:jc w:val="right"/>
      <w:rPr>
        <w:b/>
        <w:bCs/>
      </w:rPr>
    </w:pPr>
    <w:r>
      <w:rPr>
        <w:noProof/>
        <w:lang w:eastAsia="pt-BR"/>
      </w:rPr>
      <w:object w:dxaOrig="1440" w:dyaOrig="1440" w14:anchorId="0B24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22.8pt;width:101.4pt;height:24pt;z-index:2">
          <v:imagedata r:id="rId1" o:title=""/>
          <w10:wrap type="topAndBottom"/>
        </v:shape>
        <o:OLEObject Type="Embed" ProgID="CorelDraw.Graphic.8" ShapeID="_x0000_s1026" DrawAspect="Content" ObjectID="_1748684336" r:id="rId2"/>
      </w:object>
    </w:r>
    <w:r w:rsidR="007F46FF">
      <w:rPr>
        <w:b/>
        <w:bCs/>
      </w:rPr>
      <w:t xml:space="preserve">PREGÃO ELETRÔNICO Nº </w:t>
    </w:r>
    <w:r w:rsidR="007F46FF">
      <w:rPr>
        <w:b/>
        <w:bCs/>
        <w:highlight w:val="lightGray"/>
      </w:rPr>
      <w:t>__/___- ___</w:t>
    </w:r>
    <w:r w:rsidR="007F46FF">
      <w:rPr>
        <w:b/>
        <w:bCs/>
      </w:rPr>
      <w:t xml:space="preserve"> - </w:t>
    </w:r>
    <w:r w:rsidR="007F46FF" w:rsidRPr="006B573A">
      <w:rPr>
        <w:b/>
        <w:bCs/>
      </w:rPr>
      <w:t>GILOG/</w:t>
    </w:r>
    <w:r w:rsidR="007F46FF">
      <w:rPr>
        <w:b/>
        <w:bCs/>
        <w:highlight w:val="lightGray"/>
      </w:rPr>
      <w:t>___</w:t>
    </w:r>
  </w:p>
  <w:p w14:paraId="4EFBD182" w14:textId="77777777" w:rsidR="007F46FF" w:rsidRDefault="007F46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5272B"/>
    <w:multiLevelType w:val="hybridMultilevel"/>
    <w:tmpl w:val="D8409310"/>
    <w:lvl w:ilvl="0" w:tplc="6520EF94">
      <w:start w:val="1"/>
      <w:numFmt w:val="decimal"/>
      <w:pStyle w:val="Apndice"/>
      <w:lvlText w:val="APÊNDICE %1."/>
      <w:lvlJc w:val="left"/>
      <w:pPr>
        <w:ind w:left="72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4D225F0E">
      <w:start w:val="1"/>
      <w:numFmt w:val="decimal"/>
      <w:lvlText w:val="%2"/>
      <w:lvlJc w:val="left"/>
      <w:pPr>
        <w:ind w:left="-840" w:hanging="600"/>
      </w:pPr>
      <w:rPr>
        <w:rFonts w:cs="Times New Roman" w:hint="default"/>
      </w:rPr>
    </w:lvl>
    <w:lvl w:ilvl="2" w:tplc="0416001B">
      <w:start w:val="1"/>
      <w:numFmt w:val="lowerRoman"/>
      <w:lvlText w:val="%3."/>
      <w:lvlJc w:val="right"/>
      <w:pPr>
        <w:ind w:left="-360" w:hanging="180"/>
      </w:pPr>
      <w:rPr>
        <w:rFonts w:cs="Times New Roman"/>
      </w:rPr>
    </w:lvl>
    <w:lvl w:ilvl="3" w:tplc="0416000F">
      <w:start w:val="1"/>
      <w:numFmt w:val="decimal"/>
      <w:lvlText w:val="%4."/>
      <w:lvlJc w:val="left"/>
      <w:pPr>
        <w:ind w:left="360" w:hanging="360"/>
      </w:pPr>
      <w:rPr>
        <w:rFonts w:cs="Times New Roman"/>
      </w:rPr>
    </w:lvl>
    <w:lvl w:ilvl="4" w:tplc="04160019" w:tentative="1">
      <w:start w:val="1"/>
      <w:numFmt w:val="lowerLetter"/>
      <w:lvlText w:val="%5."/>
      <w:lvlJc w:val="left"/>
      <w:pPr>
        <w:ind w:left="1080" w:hanging="360"/>
      </w:pPr>
      <w:rPr>
        <w:rFonts w:cs="Times New Roman"/>
      </w:rPr>
    </w:lvl>
    <w:lvl w:ilvl="5" w:tplc="0416001B" w:tentative="1">
      <w:start w:val="1"/>
      <w:numFmt w:val="lowerRoman"/>
      <w:lvlText w:val="%6."/>
      <w:lvlJc w:val="right"/>
      <w:pPr>
        <w:ind w:left="1800" w:hanging="180"/>
      </w:pPr>
      <w:rPr>
        <w:rFonts w:cs="Times New Roman"/>
      </w:rPr>
    </w:lvl>
    <w:lvl w:ilvl="6" w:tplc="0416000F" w:tentative="1">
      <w:start w:val="1"/>
      <w:numFmt w:val="decimal"/>
      <w:lvlText w:val="%7."/>
      <w:lvlJc w:val="left"/>
      <w:pPr>
        <w:ind w:left="2520" w:hanging="360"/>
      </w:pPr>
      <w:rPr>
        <w:rFonts w:cs="Times New Roman"/>
      </w:rPr>
    </w:lvl>
    <w:lvl w:ilvl="7" w:tplc="04160019" w:tentative="1">
      <w:start w:val="1"/>
      <w:numFmt w:val="lowerLetter"/>
      <w:lvlText w:val="%8."/>
      <w:lvlJc w:val="left"/>
      <w:pPr>
        <w:ind w:left="3240" w:hanging="360"/>
      </w:pPr>
      <w:rPr>
        <w:rFonts w:cs="Times New Roman"/>
      </w:rPr>
    </w:lvl>
    <w:lvl w:ilvl="8" w:tplc="0416001B" w:tentative="1">
      <w:start w:val="1"/>
      <w:numFmt w:val="lowerRoman"/>
      <w:lvlText w:val="%9."/>
      <w:lvlJc w:val="right"/>
      <w:pPr>
        <w:ind w:left="3960" w:hanging="180"/>
      </w:pPr>
      <w:rPr>
        <w:rFonts w:cs="Times New Roman"/>
      </w:rPr>
    </w:lvl>
  </w:abstractNum>
  <w:num w:numId="1" w16cid:durableId="1781340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380C"/>
    <w:rsid w:val="00037418"/>
    <w:rsid w:val="00076F91"/>
    <w:rsid w:val="000C3C69"/>
    <w:rsid w:val="001408DE"/>
    <w:rsid w:val="001601BD"/>
    <w:rsid w:val="00167138"/>
    <w:rsid w:val="001C47B0"/>
    <w:rsid w:val="001D04AA"/>
    <w:rsid w:val="001E6A67"/>
    <w:rsid w:val="002055CB"/>
    <w:rsid w:val="00220CBC"/>
    <w:rsid w:val="0022380C"/>
    <w:rsid w:val="00226EB0"/>
    <w:rsid w:val="002273BB"/>
    <w:rsid w:val="00231249"/>
    <w:rsid w:val="002C4E45"/>
    <w:rsid w:val="002D3F9C"/>
    <w:rsid w:val="002D7770"/>
    <w:rsid w:val="002E7641"/>
    <w:rsid w:val="002F1954"/>
    <w:rsid w:val="00320F9D"/>
    <w:rsid w:val="003B1A59"/>
    <w:rsid w:val="003E1329"/>
    <w:rsid w:val="00410CE0"/>
    <w:rsid w:val="00452418"/>
    <w:rsid w:val="00452443"/>
    <w:rsid w:val="004D1B3E"/>
    <w:rsid w:val="004E38D3"/>
    <w:rsid w:val="00506767"/>
    <w:rsid w:val="005455D1"/>
    <w:rsid w:val="00570F69"/>
    <w:rsid w:val="00630C40"/>
    <w:rsid w:val="00640156"/>
    <w:rsid w:val="0067065E"/>
    <w:rsid w:val="0067267E"/>
    <w:rsid w:val="006B573A"/>
    <w:rsid w:val="00716F31"/>
    <w:rsid w:val="007C1D09"/>
    <w:rsid w:val="007D7742"/>
    <w:rsid w:val="007E1E64"/>
    <w:rsid w:val="007F3DFB"/>
    <w:rsid w:val="007F46FF"/>
    <w:rsid w:val="0082563A"/>
    <w:rsid w:val="008609E8"/>
    <w:rsid w:val="0091586B"/>
    <w:rsid w:val="0093084D"/>
    <w:rsid w:val="00972735"/>
    <w:rsid w:val="009E5DC0"/>
    <w:rsid w:val="00A2434E"/>
    <w:rsid w:val="00A356B2"/>
    <w:rsid w:val="00A43A80"/>
    <w:rsid w:val="00AA56A4"/>
    <w:rsid w:val="00AC754D"/>
    <w:rsid w:val="00AF1AE8"/>
    <w:rsid w:val="00B02159"/>
    <w:rsid w:val="00B25749"/>
    <w:rsid w:val="00B37476"/>
    <w:rsid w:val="00B53B7D"/>
    <w:rsid w:val="00B9412E"/>
    <w:rsid w:val="00BB1945"/>
    <w:rsid w:val="00BB2B50"/>
    <w:rsid w:val="00C30CE5"/>
    <w:rsid w:val="00C81620"/>
    <w:rsid w:val="00C90165"/>
    <w:rsid w:val="00CE1637"/>
    <w:rsid w:val="00CE1CF9"/>
    <w:rsid w:val="00CE6EB3"/>
    <w:rsid w:val="00D64F62"/>
    <w:rsid w:val="00D966A5"/>
    <w:rsid w:val="00DC2A39"/>
    <w:rsid w:val="00DC5E54"/>
    <w:rsid w:val="00DF26BD"/>
    <w:rsid w:val="00DF605E"/>
    <w:rsid w:val="00E02344"/>
    <w:rsid w:val="00E57AA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C83B09"/>
  <w15:docId w15:val="{B6AB8DA0-A2D5-42AC-9E35-BFB70D2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0C"/>
    <w:pPr>
      <w:spacing w:after="160" w:line="259"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rsid w:val="0022380C"/>
    <w:pPr>
      <w:tabs>
        <w:tab w:val="center" w:pos="4252"/>
        <w:tab w:val="right" w:pos="8504"/>
      </w:tabs>
      <w:spacing w:after="0" w:line="240" w:lineRule="auto"/>
    </w:pPr>
  </w:style>
  <w:style w:type="character" w:customStyle="1" w:styleId="CabealhoChar">
    <w:name w:val="Cabeçalho Char"/>
    <w:link w:val="Cabealho"/>
    <w:uiPriority w:val="99"/>
    <w:semiHidden/>
    <w:locked/>
    <w:rsid w:val="0022380C"/>
    <w:rPr>
      <w:rFonts w:cs="Times New Roman"/>
    </w:rPr>
  </w:style>
  <w:style w:type="paragraph" w:styleId="Rodap">
    <w:name w:val="footer"/>
    <w:basedOn w:val="Normal"/>
    <w:link w:val="RodapChar"/>
    <w:uiPriority w:val="99"/>
    <w:semiHidden/>
    <w:rsid w:val="0022380C"/>
    <w:pPr>
      <w:tabs>
        <w:tab w:val="center" w:pos="4252"/>
        <w:tab w:val="right" w:pos="8504"/>
      </w:tabs>
      <w:spacing w:after="0" w:line="240" w:lineRule="auto"/>
    </w:pPr>
  </w:style>
  <w:style w:type="character" w:customStyle="1" w:styleId="RodapChar">
    <w:name w:val="Rodapé Char"/>
    <w:link w:val="Rodap"/>
    <w:uiPriority w:val="99"/>
    <w:semiHidden/>
    <w:locked/>
    <w:rsid w:val="0022380C"/>
    <w:rPr>
      <w:rFonts w:cs="Times New Roman"/>
    </w:rPr>
  </w:style>
  <w:style w:type="paragraph" w:customStyle="1" w:styleId="Apndice">
    <w:name w:val="Apêndice"/>
    <w:basedOn w:val="Normal"/>
    <w:uiPriority w:val="99"/>
    <w:rsid w:val="0022380C"/>
    <w:pPr>
      <w:numPr>
        <w:numId w:val="1"/>
      </w:numPr>
      <w:spacing w:after="360" w:line="360" w:lineRule="auto"/>
      <w:jc w:val="center"/>
    </w:pPr>
    <w:rPr>
      <w:rFonts w:ascii="Arial" w:eastAsia="Times New Roman" w:hAnsi="Arial"/>
      <w:b/>
      <w:szCs w:val="24"/>
      <w:lang w:eastAsia="pt-BR"/>
    </w:rPr>
  </w:style>
  <w:style w:type="character" w:styleId="Hyperlink">
    <w:name w:val="Hyperlink"/>
    <w:uiPriority w:val="99"/>
    <w:rsid w:val="001408DE"/>
    <w:rPr>
      <w:rFonts w:cs="Times New Roman"/>
      <w:color w:val="0563C1"/>
      <w:u w:val="single"/>
    </w:rPr>
  </w:style>
  <w:style w:type="character" w:customStyle="1" w:styleId="MenoPendente1">
    <w:name w:val="Menção Pendente1"/>
    <w:uiPriority w:val="99"/>
    <w:semiHidden/>
    <w:rsid w:val="001408DE"/>
    <w:rPr>
      <w:rFonts w:cs="Times New Roman"/>
      <w:color w:val="605E5C"/>
      <w:shd w:val="clear" w:color="auto" w:fill="E1DFDD"/>
    </w:rPr>
  </w:style>
  <w:style w:type="character" w:styleId="MenoPendente">
    <w:name w:val="Unresolved Mention"/>
    <w:uiPriority w:val="99"/>
    <w:semiHidden/>
    <w:unhideWhenUsed/>
    <w:rsid w:val="00076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8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cot@caixa.gov.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licitacoes.caixa.gov.b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0" ma:contentTypeDescription="Crie um novo documento." ma:contentTypeScope="" ma:versionID="d2b5be662d933ce20e10c1478f559610">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65c5bdb059bb61ddb0f6eb8b3f5f73b"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k xmlns="a1625cbc-6789-4a53-a7a4-f622ed9ee909">
      <Url xsi:nil="true"/>
      <Description xsi:nil="true"/>
    </Link>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321B9-6BE6-4555-ACE6-E67D2A696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E27678-5F72-4BE7-9BBE-8E1FFA954AF0}">
  <ds:schemaRefs>
    <ds:schemaRef ds:uri="http://schemas.microsoft.com/office/2006/metadata/properties"/>
    <ds:schemaRef ds:uri="http://schemas.microsoft.com/office/infopath/2007/PartnerControls"/>
    <ds:schemaRef ds:uri="a1625cbc-6789-4a53-a7a4-f622ed9ee909"/>
    <ds:schemaRef ds:uri="http://schemas.microsoft.com/sharepoint/v3"/>
    <ds:schemaRef ds:uri="d865a98d-913f-46dd-85c5-3af6e1f16b55"/>
  </ds:schemaRefs>
</ds:datastoreItem>
</file>

<file path=customXml/itemProps3.xml><?xml version="1.0" encoding="utf-8"?>
<ds:datastoreItem xmlns:ds="http://schemas.openxmlformats.org/officeDocument/2006/customXml" ds:itemID="{3B1961FE-8711-4A65-A405-A9045C136D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1721</Words>
  <Characters>9297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ANEXO III</vt:lpstr>
    </vt:vector>
  </TitlesOfParts>
  <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III</dc:title>
  <dc:subject/>
  <dc:creator>Tadeu Alencar</dc:creator>
  <cp:keywords/>
  <dc:description/>
  <cp:lastModifiedBy>Patricia Goncalves Rodrigues</cp:lastModifiedBy>
  <cp:revision>41</cp:revision>
  <dcterms:created xsi:type="dcterms:W3CDTF">2020-03-13T18:51:00Z</dcterms:created>
  <dcterms:modified xsi:type="dcterms:W3CDTF">2023-06-19T15:52:00Z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iteId">
    <vt:lpwstr>ab9bba98-684a-43fb-add8-9c2bebede229</vt:lpwstr>
  </property>
  <property fmtid="{D5CDD505-2E9C-101B-9397-08002B2CF9AE}" pid="4" name="MSIP_Label_fde7aacd-7cc4-4c31-9e6f-7ef306428f09_Owner">
    <vt:lpwstr>c084664@corp.caixa.gov.br</vt:lpwstr>
  </property>
  <property fmtid="{D5CDD505-2E9C-101B-9397-08002B2CF9AE}" pid="5" name="MSIP_Label_fde7aacd-7cc4-4c31-9e6f-7ef306428f09_SetDate">
    <vt:lpwstr>2020-02-10T21:41:49.7004532Z</vt:lpwstr>
  </property>
  <property fmtid="{D5CDD505-2E9C-101B-9397-08002B2CF9AE}" pid="6" name="MSIP_Label_fde7aacd-7cc4-4c31-9e6f-7ef306428f09_Name">
    <vt:lpwstr>#PUBLICO</vt:lpwstr>
  </property>
  <property fmtid="{D5CDD505-2E9C-101B-9397-08002B2CF9AE}" pid="7" name="MSIP_Label_fde7aacd-7cc4-4c31-9e6f-7ef306428f09_Application">
    <vt:lpwstr>Microsoft Azure Information Protection</vt:lpwstr>
  </property>
  <property fmtid="{D5CDD505-2E9C-101B-9397-08002B2CF9AE}" pid="8" name="MSIP_Label_fde7aacd-7cc4-4c31-9e6f-7ef306428f09_ActionId">
    <vt:lpwstr>4eeaec8a-b116-48e9-9780-cd7c27e51433</vt:lpwstr>
  </property>
  <property fmtid="{D5CDD505-2E9C-101B-9397-08002B2CF9AE}" pid="9" name="MSIP_Label_fde7aacd-7cc4-4c31-9e6f-7ef306428f09_Extended_MSFT_Method">
    <vt:lpwstr>Manual</vt:lpwstr>
  </property>
  <property fmtid="{D5CDD505-2E9C-101B-9397-08002B2CF9AE}" pid="10" name="Sensitivity">
    <vt:lpwstr>#PUBLICO</vt:lpwstr>
  </property>
  <property fmtid="{D5CDD505-2E9C-101B-9397-08002B2CF9AE}" pid="11" name="ContentTypeId">
    <vt:lpwstr>0x0101009EEC9F71DE58C543A4895D785C96B72D</vt:lpwstr>
  </property>
  <property fmtid="{D5CDD505-2E9C-101B-9397-08002B2CF9AE}" pid="12" name="MediaServiceImageTags">
    <vt:lpwstr/>
  </property>
</Properties>
</file>